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8023" w14:textId="6F176B3D" w:rsidR="00996B3C" w:rsidRDefault="009B174D" w:rsidP="00C558E6">
      <w:pPr>
        <w:widowControl w:val="0"/>
        <w:spacing w:after="0" w:line="276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FA20E5" wp14:editId="630C6F51">
            <wp:simplePos x="0" y="0"/>
            <wp:positionH relativeFrom="margin">
              <wp:align>left</wp:align>
            </wp:positionH>
            <wp:positionV relativeFrom="paragraph">
              <wp:posOffset>-730885</wp:posOffset>
            </wp:positionV>
            <wp:extent cx="685800" cy="8191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BAFDC" w14:textId="77777777" w:rsidR="00ED3A22" w:rsidRDefault="00ED3A22" w:rsidP="00C558E6">
      <w:pPr>
        <w:widowControl w:val="0"/>
        <w:spacing w:line="276" w:lineRule="auto"/>
      </w:pPr>
    </w:p>
    <w:p w14:paraId="03864931" w14:textId="77777777" w:rsidR="00AF5B46" w:rsidRDefault="001E50D6" w:rsidP="00C558E6">
      <w:pPr>
        <w:widowControl w:val="0"/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Detia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Freyberg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GmbH</w:t>
      </w:r>
      <w:proofErr w:type="spellEnd"/>
    </w:p>
    <w:p w14:paraId="51B28E1A" w14:textId="77777777" w:rsidR="001E50D6" w:rsidRDefault="001E50D6" w:rsidP="00C558E6">
      <w:pPr>
        <w:widowControl w:val="0"/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Dr.-Werner-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Freyberg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Strasse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11</w:t>
      </w:r>
    </w:p>
    <w:p w14:paraId="4A026937" w14:textId="77777777" w:rsidR="001E50D6" w:rsidRDefault="001E50D6" w:rsidP="00C558E6">
      <w:pPr>
        <w:widowControl w:val="0"/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69514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Laudenbach</w:t>
      </w:r>
      <w:proofErr w:type="spellEnd"/>
    </w:p>
    <w:p w14:paraId="598B40CA" w14:textId="77777777" w:rsidR="001E50D6" w:rsidRPr="00E273C8" w:rsidRDefault="001E50D6" w:rsidP="00C558E6">
      <w:pPr>
        <w:widowControl w:val="0"/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Německo</w:t>
      </w:r>
    </w:p>
    <w:p w14:paraId="4E416F1B" w14:textId="77777777" w:rsidR="00300236" w:rsidRDefault="00300236" w:rsidP="00C558E6">
      <w:pPr>
        <w:widowControl w:val="0"/>
        <w:spacing w:after="0" w:line="276" w:lineRule="auto"/>
        <w:rPr>
          <w:rFonts w:ascii="Times New Roman" w:hAnsi="Times New Roman"/>
          <w:sz w:val="24"/>
        </w:rPr>
      </w:pPr>
    </w:p>
    <w:p w14:paraId="3F5043F6" w14:textId="77777777" w:rsidR="00BE5749" w:rsidRPr="008E057C" w:rsidRDefault="00BE5749" w:rsidP="00C558E6">
      <w:pPr>
        <w:widowControl w:val="0"/>
        <w:spacing w:after="0" w:line="276" w:lineRule="auto"/>
        <w:rPr>
          <w:rFonts w:ascii="Times New Roman" w:hAnsi="Times New Roman"/>
          <w:sz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047"/>
        <w:gridCol w:w="3456"/>
        <w:gridCol w:w="1701"/>
        <w:gridCol w:w="3118"/>
      </w:tblGrid>
      <w:tr w:rsidR="00A847C6" w:rsidRPr="00A847C6" w14:paraId="3F5FC58F" w14:textId="77777777" w:rsidTr="00BE5749">
        <w:tc>
          <w:tcPr>
            <w:tcW w:w="1047" w:type="dxa"/>
            <w:shd w:val="clear" w:color="auto" w:fill="auto"/>
          </w:tcPr>
          <w:p w14:paraId="054C1674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Útvar:</w:t>
            </w:r>
          </w:p>
        </w:tc>
        <w:tc>
          <w:tcPr>
            <w:tcW w:w="3456" w:type="dxa"/>
            <w:shd w:val="clear" w:color="auto" w:fill="auto"/>
          </w:tcPr>
          <w:p w14:paraId="53060AB3" w14:textId="77777777" w:rsidR="007D68AF" w:rsidRPr="00A847C6" w:rsidRDefault="00563D4E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7C6">
              <w:rPr>
                <w:rFonts w:ascii="Times New Roman" w:hAnsi="Times New Roman"/>
                <w:szCs w:val="24"/>
              </w:rPr>
              <w:t>Od</w:t>
            </w:r>
            <w:r w:rsidR="00BE5749">
              <w:rPr>
                <w:rFonts w:ascii="Times New Roman" w:hAnsi="Times New Roman"/>
                <w:szCs w:val="24"/>
              </w:rPr>
              <w:t>PP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D55576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Spisová zn.:</w:t>
            </w:r>
          </w:p>
        </w:tc>
        <w:tc>
          <w:tcPr>
            <w:tcW w:w="3118" w:type="dxa"/>
            <w:shd w:val="clear" w:color="auto" w:fill="auto"/>
          </w:tcPr>
          <w:p w14:paraId="783C60F0" w14:textId="77777777" w:rsidR="007D68AF" w:rsidRPr="000611AE" w:rsidRDefault="00BE5749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BE5749">
              <w:rPr>
                <w:rFonts w:ascii="Times New Roman" w:hAnsi="Times New Roman"/>
              </w:rPr>
              <w:t>SZ UKZUZ 105292/2022/32392</w:t>
            </w:r>
          </w:p>
        </w:tc>
      </w:tr>
      <w:tr w:rsidR="00A847C6" w:rsidRPr="00A847C6" w14:paraId="6CCD5016" w14:textId="77777777" w:rsidTr="00BE5749">
        <w:tc>
          <w:tcPr>
            <w:tcW w:w="1047" w:type="dxa"/>
            <w:shd w:val="clear" w:color="auto" w:fill="auto"/>
          </w:tcPr>
          <w:p w14:paraId="582AC7DA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Vyřizuje:</w:t>
            </w:r>
          </w:p>
        </w:tc>
        <w:tc>
          <w:tcPr>
            <w:tcW w:w="3456" w:type="dxa"/>
            <w:shd w:val="clear" w:color="auto" w:fill="auto"/>
          </w:tcPr>
          <w:p w14:paraId="7C41EC47" w14:textId="77777777" w:rsidR="007D68AF" w:rsidRPr="00A847C6" w:rsidRDefault="00AF5B46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Ing. </w:t>
            </w:r>
            <w:r w:rsidR="00BE5749">
              <w:rPr>
                <w:rFonts w:ascii="Times New Roman" w:hAnsi="Times New Roman"/>
                <w:szCs w:val="24"/>
              </w:rPr>
              <w:t>Marcela Machalová</w:t>
            </w:r>
            <w:r w:rsidR="0013326E" w:rsidRPr="00A847C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8126A30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Č.</w:t>
            </w:r>
            <w:r w:rsidR="003F0022" w:rsidRPr="00A847C6">
              <w:rPr>
                <w:rFonts w:ascii="Times New Roman" w:hAnsi="Times New Roman"/>
              </w:rPr>
              <w:t xml:space="preserve"> </w:t>
            </w:r>
            <w:r w:rsidRPr="00A847C6">
              <w:rPr>
                <w:rFonts w:ascii="Times New Roman" w:hAnsi="Times New Roman"/>
              </w:rPr>
              <w:t>j.:</w:t>
            </w:r>
          </w:p>
        </w:tc>
        <w:tc>
          <w:tcPr>
            <w:tcW w:w="3118" w:type="dxa"/>
            <w:shd w:val="clear" w:color="auto" w:fill="auto"/>
          </w:tcPr>
          <w:p w14:paraId="458079CC" w14:textId="77777777" w:rsidR="007D68AF" w:rsidRPr="000611AE" w:rsidRDefault="000F3FC5" w:rsidP="00C558E6">
            <w:pPr>
              <w:widowControl w:val="0"/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000F3FC5">
              <w:rPr>
                <w:rFonts w:ascii="Times New Roman" w:hAnsi="Times New Roman"/>
              </w:rPr>
              <w:t>UKZUZ 121216/2022</w:t>
            </w:r>
          </w:p>
        </w:tc>
      </w:tr>
      <w:tr w:rsidR="00A847C6" w:rsidRPr="00A847C6" w14:paraId="6446AC39" w14:textId="77777777" w:rsidTr="00BE5749">
        <w:tc>
          <w:tcPr>
            <w:tcW w:w="1047" w:type="dxa"/>
            <w:shd w:val="clear" w:color="auto" w:fill="auto"/>
          </w:tcPr>
          <w:p w14:paraId="1B86590D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E-</w:t>
            </w:r>
            <w:r w:rsidR="003F0022" w:rsidRPr="00A847C6">
              <w:rPr>
                <w:rFonts w:ascii="Times New Roman" w:hAnsi="Times New Roman"/>
              </w:rPr>
              <w:t>mail</w:t>
            </w:r>
            <w:r w:rsidRPr="00A847C6">
              <w:rPr>
                <w:rFonts w:ascii="Times New Roman" w:hAnsi="Times New Roman"/>
              </w:rPr>
              <w:t>:</w:t>
            </w:r>
          </w:p>
        </w:tc>
        <w:tc>
          <w:tcPr>
            <w:tcW w:w="3456" w:type="dxa"/>
            <w:shd w:val="clear" w:color="auto" w:fill="auto"/>
          </w:tcPr>
          <w:p w14:paraId="0C130159" w14:textId="77777777" w:rsidR="007D68AF" w:rsidRPr="00A847C6" w:rsidRDefault="00BE5749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marcela.machalova</w:t>
            </w:r>
            <w:r w:rsidR="00AF5B46">
              <w:rPr>
                <w:rFonts w:ascii="Times New Roman" w:hAnsi="Times New Roman"/>
                <w:szCs w:val="24"/>
              </w:rPr>
              <w:t>@ukzuz.cz</w:t>
            </w:r>
          </w:p>
        </w:tc>
        <w:tc>
          <w:tcPr>
            <w:tcW w:w="1701" w:type="dxa"/>
            <w:shd w:val="clear" w:color="auto" w:fill="auto"/>
          </w:tcPr>
          <w:p w14:paraId="50275A98" w14:textId="77777777" w:rsidR="007D68AF" w:rsidRPr="00A847C6" w:rsidRDefault="00122067" w:rsidP="00C558E6">
            <w:pPr>
              <w:widowControl w:val="0"/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00A847C6">
              <w:rPr>
                <w:rFonts w:ascii="Times New Roman" w:hAnsi="Times New Roman"/>
              </w:rPr>
              <w:t xml:space="preserve">Označení </w:t>
            </w:r>
            <w:proofErr w:type="spellStart"/>
            <w:r w:rsidRPr="00A847C6">
              <w:rPr>
                <w:rFonts w:ascii="Times New Roman" w:hAnsi="Times New Roman"/>
              </w:rPr>
              <w:t>rozh</w:t>
            </w:r>
            <w:proofErr w:type="spellEnd"/>
            <w:r w:rsidR="00C35823" w:rsidRPr="00A847C6">
              <w:rPr>
                <w:rFonts w:ascii="Times New Roman" w:hAnsi="Times New Roman"/>
              </w:rPr>
              <w:t>.</w:t>
            </w:r>
            <w:r w:rsidR="0013326E" w:rsidRPr="00A847C6">
              <w:rPr>
                <w:rFonts w:ascii="Times New Roman" w:hAnsi="Times New Roman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10CB59F4" w14:textId="77777777" w:rsidR="007D68AF" w:rsidRPr="00A847C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DFG </w:t>
            </w:r>
            <w:r w:rsidR="0013326E" w:rsidRPr="00A847C6"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stutox</w:t>
            </w:r>
            <w:proofErr w:type="spellEnd"/>
            <w:r>
              <w:rPr>
                <w:rFonts w:ascii="Times New Roman" w:hAnsi="Times New Roman"/>
              </w:rPr>
              <w:t xml:space="preserve"> II </w:t>
            </w:r>
            <w:r w:rsidR="00FD360A">
              <w:rPr>
                <w:rFonts w:ascii="Times New Roman" w:hAnsi="Times New Roman"/>
              </w:rPr>
              <w:t>r</w:t>
            </w:r>
            <w:r w:rsidR="00BE5749">
              <w:rPr>
                <w:rFonts w:ascii="Times New Roman" w:hAnsi="Times New Roman"/>
              </w:rPr>
              <w:t>1</w:t>
            </w:r>
          </w:p>
        </w:tc>
      </w:tr>
      <w:tr w:rsidR="00A847C6" w:rsidRPr="00A847C6" w14:paraId="596A62EB" w14:textId="77777777" w:rsidTr="00BE5749">
        <w:tc>
          <w:tcPr>
            <w:tcW w:w="1047" w:type="dxa"/>
            <w:shd w:val="clear" w:color="auto" w:fill="auto"/>
          </w:tcPr>
          <w:p w14:paraId="0649E499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Telefon:</w:t>
            </w:r>
          </w:p>
        </w:tc>
        <w:tc>
          <w:tcPr>
            <w:tcW w:w="3456" w:type="dxa"/>
            <w:shd w:val="clear" w:color="auto" w:fill="auto"/>
          </w:tcPr>
          <w:p w14:paraId="5BD3658C" w14:textId="77777777" w:rsidR="007D68AF" w:rsidRPr="00A847C6" w:rsidRDefault="00457A27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47C6">
              <w:rPr>
                <w:rFonts w:ascii="Times New Roman" w:hAnsi="Times New Roman"/>
              </w:rPr>
              <w:t>+420</w:t>
            </w:r>
            <w:r w:rsidR="00BA085F">
              <w:rPr>
                <w:rFonts w:ascii="Times New Roman" w:hAnsi="Times New Roman"/>
              </w:rPr>
              <w:t xml:space="preserve"> </w:t>
            </w:r>
            <w:r w:rsidRPr="00A847C6">
              <w:rPr>
                <w:rFonts w:ascii="Times New Roman" w:hAnsi="Times New Roman"/>
              </w:rPr>
              <w:t>54</w:t>
            </w:r>
            <w:r w:rsidR="00BB631B" w:rsidRPr="00A847C6">
              <w:rPr>
                <w:rFonts w:ascii="Times New Roman" w:hAnsi="Times New Roman"/>
              </w:rPr>
              <w:t>5</w:t>
            </w:r>
            <w:r w:rsidR="00BA085F">
              <w:rPr>
                <w:rFonts w:ascii="Times New Roman" w:hAnsi="Times New Roman"/>
              </w:rPr>
              <w:t xml:space="preserve"> </w:t>
            </w:r>
            <w:r w:rsidR="00BB631B" w:rsidRPr="00A847C6">
              <w:rPr>
                <w:rFonts w:ascii="Times New Roman" w:hAnsi="Times New Roman"/>
              </w:rPr>
              <w:t>110</w:t>
            </w:r>
            <w:r w:rsidR="00BA085F">
              <w:rPr>
                <w:rFonts w:ascii="Times New Roman" w:hAnsi="Times New Roman"/>
              </w:rPr>
              <w:t xml:space="preserve"> </w:t>
            </w:r>
            <w:r w:rsidR="00AF5B46">
              <w:rPr>
                <w:rFonts w:ascii="Times New Roman" w:hAnsi="Times New Roman"/>
              </w:rPr>
              <w:t>4</w:t>
            </w:r>
            <w:r w:rsidR="00BE5749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57EB8CE4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0288E94A" w14:textId="77777777" w:rsidR="007D68AF" w:rsidRPr="00A847C6" w:rsidRDefault="007D68AF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7C6" w:rsidRPr="00A847C6" w14:paraId="5D6C48D3" w14:textId="77777777" w:rsidTr="00BE5749">
        <w:tc>
          <w:tcPr>
            <w:tcW w:w="1047" w:type="dxa"/>
            <w:shd w:val="clear" w:color="auto" w:fill="auto"/>
          </w:tcPr>
          <w:p w14:paraId="6161C390" w14:textId="77777777" w:rsidR="00457A27" w:rsidRPr="00A847C6" w:rsidRDefault="00457A27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Adresa:</w:t>
            </w:r>
          </w:p>
        </w:tc>
        <w:tc>
          <w:tcPr>
            <w:tcW w:w="3456" w:type="dxa"/>
            <w:shd w:val="clear" w:color="auto" w:fill="auto"/>
          </w:tcPr>
          <w:p w14:paraId="7E985542" w14:textId="77777777" w:rsidR="00457A27" w:rsidRPr="00A847C6" w:rsidRDefault="00270F6A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47C6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A847C6">
              <w:rPr>
                <w:rFonts w:ascii="Times New Roman" w:hAnsi="Times New Roman"/>
              </w:rPr>
              <w:t>1a</w:t>
            </w:r>
            <w:proofErr w:type="gramEnd"/>
            <w:r w:rsidR="00457A27" w:rsidRPr="00A847C6">
              <w:rPr>
                <w:rFonts w:ascii="Times New Roman" w:hAnsi="Times New Roman"/>
              </w:rPr>
              <w:t xml:space="preserve">, </w:t>
            </w:r>
            <w:r w:rsidRPr="00A847C6">
              <w:rPr>
                <w:rFonts w:ascii="Times New Roman" w:hAnsi="Times New Roman"/>
              </w:rPr>
              <w:t>613 00</w:t>
            </w:r>
            <w:r w:rsidR="00457A27" w:rsidRPr="00A847C6">
              <w:rPr>
                <w:rFonts w:ascii="Times New Roman" w:hAnsi="Times New Roman"/>
              </w:rPr>
              <w:t xml:space="preserve"> Brno</w:t>
            </w:r>
          </w:p>
        </w:tc>
        <w:tc>
          <w:tcPr>
            <w:tcW w:w="1701" w:type="dxa"/>
            <w:shd w:val="clear" w:color="auto" w:fill="auto"/>
          </w:tcPr>
          <w:p w14:paraId="350BBF09" w14:textId="77777777" w:rsidR="00457A27" w:rsidRPr="00A847C6" w:rsidRDefault="00457A27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847C6">
              <w:rPr>
                <w:rFonts w:ascii="Times New Roman" w:hAnsi="Times New Roman"/>
              </w:rPr>
              <w:t>Datum:</w:t>
            </w:r>
          </w:p>
        </w:tc>
        <w:tc>
          <w:tcPr>
            <w:tcW w:w="3118" w:type="dxa"/>
            <w:shd w:val="clear" w:color="auto" w:fill="auto"/>
          </w:tcPr>
          <w:p w14:paraId="1EAC9211" w14:textId="5BAD5292" w:rsidR="00457A27" w:rsidRPr="00A847C6" w:rsidRDefault="001251BA" w:rsidP="00C558E6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1251BA">
              <w:rPr>
                <w:rFonts w:ascii="Times New Roman" w:hAnsi="Times New Roman"/>
              </w:rPr>
              <w:t>29</w:t>
            </w:r>
            <w:r w:rsidR="00FB2714" w:rsidRPr="001251BA">
              <w:rPr>
                <w:rFonts w:ascii="Times New Roman" w:hAnsi="Times New Roman"/>
              </w:rPr>
              <w:t xml:space="preserve">. </w:t>
            </w:r>
            <w:r w:rsidR="000F3FC5" w:rsidRPr="001251BA">
              <w:rPr>
                <w:rFonts w:ascii="Times New Roman" w:hAnsi="Times New Roman"/>
              </w:rPr>
              <w:t>6. 2022</w:t>
            </w:r>
          </w:p>
        </w:tc>
      </w:tr>
    </w:tbl>
    <w:p w14:paraId="1E32BEC4" w14:textId="77777777" w:rsidR="00E55437" w:rsidRPr="00942838" w:rsidRDefault="00E55437" w:rsidP="00C558E6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BCD1F33" w14:textId="77777777" w:rsidR="00A65A76" w:rsidRPr="00942838" w:rsidRDefault="00A65A76" w:rsidP="00C558E6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732B1A2" w14:textId="77777777" w:rsidR="00662678" w:rsidRPr="008808DA" w:rsidRDefault="00662678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8808DA">
        <w:rPr>
          <w:rFonts w:ascii="Times New Roman" w:hAnsi="Times New Roman"/>
          <w:b/>
          <w:spacing w:val="40"/>
          <w:sz w:val="32"/>
          <w:szCs w:val="32"/>
        </w:rPr>
        <w:t>ROZHODNUTÍ</w:t>
      </w:r>
    </w:p>
    <w:p w14:paraId="5ED55FFA" w14:textId="77777777" w:rsidR="00662678" w:rsidRDefault="00662678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ACFE8A4" w14:textId="77777777" w:rsidR="0078512E" w:rsidRDefault="00662678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 nebo „správní orgán“), Hroznová 2, </w:t>
      </w:r>
      <w:r w:rsidR="00EC2054">
        <w:rPr>
          <w:rFonts w:ascii="Times New Roman" w:hAnsi="Times New Roman"/>
          <w:sz w:val="24"/>
          <w:szCs w:val="24"/>
        </w:rPr>
        <w:t>603 00</w:t>
      </w:r>
      <w:r>
        <w:rPr>
          <w:rFonts w:ascii="Times New Roman" w:hAnsi="Times New Roman"/>
          <w:sz w:val="24"/>
          <w:szCs w:val="24"/>
        </w:rPr>
        <w:t xml:space="preserve"> Brno, jako příslušný orgán ve smyslu §</w:t>
      </w:r>
      <w:r w:rsidR="00270F6A">
        <w:rPr>
          <w:rFonts w:ascii="Times New Roman" w:hAnsi="Times New Roman"/>
          <w:sz w:val="24"/>
          <w:szCs w:val="24"/>
        </w:rPr>
        <w:t xml:space="preserve"> </w:t>
      </w:r>
      <w:r w:rsidR="00270F6A" w:rsidRPr="00270F6A">
        <w:rPr>
          <w:rFonts w:ascii="Times New Roman" w:hAnsi="Times New Roman"/>
          <w:sz w:val="24"/>
          <w:szCs w:val="24"/>
        </w:rPr>
        <w:t xml:space="preserve">72 odst. 1 písm. c) zákona č. 326/2004 Sb., o rostlinolékařské péči a o změně některých souvisejících zákonů, ve znění pozdějších předpisů (dále jen „zákon“), podle čl. </w:t>
      </w:r>
      <w:r w:rsidR="00EC2054">
        <w:rPr>
          <w:rFonts w:ascii="Times New Roman" w:hAnsi="Times New Roman"/>
          <w:sz w:val="24"/>
          <w:szCs w:val="24"/>
        </w:rPr>
        <w:t>45</w:t>
      </w:r>
      <w:r w:rsidR="00270F6A" w:rsidRPr="00270F6A">
        <w:rPr>
          <w:rFonts w:ascii="Times New Roman" w:hAnsi="Times New Roman"/>
          <w:sz w:val="24"/>
          <w:szCs w:val="24"/>
        </w:rPr>
        <w:t xml:space="preserve"> </w:t>
      </w:r>
      <w:r w:rsidR="00B34634">
        <w:rPr>
          <w:rFonts w:ascii="Times New Roman" w:hAnsi="Times New Roman"/>
          <w:sz w:val="24"/>
          <w:szCs w:val="24"/>
        </w:rPr>
        <w:t>n</w:t>
      </w:r>
      <w:r w:rsidR="00B34634" w:rsidRPr="00270F6A">
        <w:rPr>
          <w:rFonts w:ascii="Times New Roman" w:hAnsi="Times New Roman"/>
          <w:sz w:val="24"/>
          <w:szCs w:val="24"/>
        </w:rPr>
        <w:t xml:space="preserve">ařízení </w:t>
      </w:r>
      <w:r w:rsidR="00270F6A" w:rsidRPr="00270F6A">
        <w:rPr>
          <w:rFonts w:ascii="Times New Roman" w:hAnsi="Times New Roman"/>
          <w:sz w:val="24"/>
          <w:szCs w:val="24"/>
        </w:rPr>
        <w:t>Evropského parlamentu a Rady (ES) č. 1107/2009 o uvádění přípravků na ochranu rostlin na trh a o zrušení směrnic Rady 79/117/EHS a 91/414/EHS (dále jen „</w:t>
      </w:r>
      <w:r w:rsidR="00D55CE7">
        <w:rPr>
          <w:rFonts w:ascii="Times New Roman" w:hAnsi="Times New Roman"/>
          <w:sz w:val="24"/>
          <w:szCs w:val="24"/>
        </w:rPr>
        <w:t>n</w:t>
      </w:r>
      <w:r w:rsidR="00270F6A" w:rsidRPr="00270F6A">
        <w:rPr>
          <w:rFonts w:ascii="Times New Roman" w:hAnsi="Times New Roman"/>
          <w:sz w:val="24"/>
          <w:szCs w:val="24"/>
        </w:rPr>
        <w:t>ařízení ES“) v</w:t>
      </w:r>
      <w:r w:rsidR="00BA085F">
        <w:rPr>
          <w:rFonts w:ascii="Times New Roman" w:hAnsi="Times New Roman"/>
          <w:sz w:val="24"/>
          <w:szCs w:val="24"/>
        </w:rPr>
        <w:t xml:space="preserve"> </w:t>
      </w:r>
      <w:r w:rsidR="00270F6A" w:rsidRPr="00270F6A">
        <w:rPr>
          <w:rFonts w:ascii="Times New Roman" w:hAnsi="Times New Roman"/>
          <w:sz w:val="24"/>
          <w:szCs w:val="24"/>
        </w:rPr>
        <w:t xml:space="preserve">řízení o </w:t>
      </w:r>
      <w:r w:rsidR="00EC2054">
        <w:rPr>
          <w:rFonts w:ascii="Times New Roman" w:hAnsi="Times New Roman"/>
          <w:sz w:val="24"/>
          <w:szCs w:val="24"/>
        </w:rPr>
        <w:t xml:space="preserve">změně </w:t>
      </w:r>
      <w:r w:rsidR="00270F6A" w:rsidRPr="00270F6A">
        <w:rPr>
          <w:rFonts w:ascii="Times New Roman" w:hAnsi="Times New Roman"/>
          <w:sz w:val="24"/>
          <w:szCs w:val="24"/>
        </w:rPr>
        <w:t>povolení přípravku na ochranu rostlin</w:t>
      </w:r>
      <w:r w:rsidR="00270F6A" w:rsidRPr="00270F6A">
        <w:rPr>
          <w:rFonts w:ascii="Times New Roman" w:hAnsi="Times New Roman"/>
          <w:bCs/>
          <w:sz w:val="24"/>
          <w:szCs w:val="24"/>
        </w:rPr>
        <w:t xml:space="preserve"> </w:t>
      </w:r>
      <w:r w:rsidR="00270F6A" w:rsidRPr="00270F6A">
        <w:rPr>
          <w:rFonts w:ascii="Times New Roman" w:hAnsi="Times New Roman"/>
          <w:sz w:val="24"/>
          <w:szCs w:val="24"/>
        </w:rPr>
        <w:t>(dále jen „přípravek“)</w:t>
      </w:r>
      <w:r w:rsidR="00270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0D6">
        <w:rPr>
          <w:rFonts w:ascii="Times New Roman" w:hAnsi="Times New Roman"/>
          <w:b/>
          <w:iCs/>
          <w:sz w:val="24"/>
          <w:szCs w:val="24"/>
        </w:rPr>
        <w:t>Stutox</w:t>
      </w:r>
      <w:proofErr w:type="spellEnd"/>
      <w:r w:rsidR="001E50D6">
        <w:rPr>
          <w:rFonts w:ascii="Times New Roman" w:hAnsi="Times New Roman"/>
          <w:b/>
          <w:iCs/>
          <w:sz w:val="24"/>
          <w:szCs w:val="24"/>
        </w:rPr>
        <w:t xml:space="preserve"> II</w:t>
      </w:r>
      <w:r w:rsidR="00270F6A" w:rsidRPr="00270F6A">
        <w:rPr>
          <w:rFonts w:ascii="Times New Roman" w:hAnsi="Times New Roman"/>
          <w:sz w:val="24"/>
          <w:szCs w:val="24"/>
        </w:rPr>
        <w:t xml:space="preserve"> na základě žádosti společnosti </w:t>
      </w:r>
      <w:proofErr w:type="spellStart"/>
      <w:r w:rsidR="001E50D6">
        <w:rPr>
          <w:rFonts w:ascii="Times New Roman" w:hAnsi="Times New Roman"/>
          <w:bCs/>
          <w:iCs/>
          <w:sz w:val="24"/>
          <w:szCs w:val="24"/>
          <w:lang w:val="en-US"/>
        </w:rPr>
        <w:t>Detia</w:t>
      </w:r>
      <w:proofErr w:type="spellEnd"/>
      <w:r w:rsidR="001E50D6">
        <w:rPr>
          <w:rFonts w:ascii="Times New Roman" w:hAnsi="Times New Roman"/>
          <w:bCs/>
          <w:iCs/>
          <w:sz w:val="24"/>
          <w:szCs w:val="24"/>
          <w:lang w:val="en-US"/>
        </w:rPr>
        <w:t xml:space="preserve"> Freyberg GmbH, Dr.-Werner-Freyberg-Strasse 11, 69514 </w:t>
      </w:r>
      <w:proofErr w:type="spellStart"/>
      <w:r w:rsidR="001E50D6">
        <w:rPr>
          <w:rFonts w:ascii="Times New Roman" w:hAnsi="Times New Roman"/>
          <w:bCs/>
          <w:iCs/>
          <w:sz w:val="24"/>
          <w:szCs w:val="24"/>
          <w:lang w:val="en-US"/>
        </w:rPr>
        <w:t>Laudenbach</w:t>
      </w:r>
      <w:proofErr w:type="spellEnd"/>
      <w:r w:rsidR="006D0104"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6D0104">
        <w:rPr>
          <w:rFonts w:ascii="Times New Roman" w:hAnsi="Times New Roman"/>
          <w:bCs/>
          <w:iCs/>
          <w:sz w:val="24"/>
          <w:szCs w:val="24"/>
          <w:lang w:val="en-US"/>
        </w:rPr>
        <w:t>Německo</w:t>
      </w:r>
      <w:proofErr w:type="spellEnd"/>
      <w:r w:rsidR="00DC3597">
        <w:rPr>
          <w:rFonts w:ascii="Times New Roman" w:hAnsi="Times New Roman"/>
          <w:sz w:val="24"/>
          <w:szCs w:val="24"/>
        </w:rPr>
        <w:t xml:space="preserve"> (dále jen „držitel rozhodnutí o povolení“)</w:t>
      </w:r>
      <w:r w:rsidR="00270F6A" w:rsidRPr="00270F6A">
        <w:rPr>
          <w:rFonts w:ascii="Times New Roman" w:hAnsi="Times New Roman"/>
          <w:bCs/>
          <w:iCs/>
          <w:sz w:val="24"/>
          <w:szCs w:val="24"/>
        </w:rPr>
        <w:t>,</w:t>
      </w:r>
      <w:r w:rsidR="00270F6A" w:rsidRPr="00270F6A">
        <w:rPr>
          <w:rFonts w:ascii="Times New Roman" w:hAnsi="Times New Roman"/>
          <w:iCs/>
          <w:sz w:val="24"/>
          <w:szCs w:val="24"/>
        </w:rPr>
        <w:t xml:space="preserve"> </w:t>
      </w:r>
      <w:r w:rsidR="00670D9A">
        <w:rPr>
          <w:rFonts w:ascii="Times New Roman" w:hAnsi="Times New Roman"/>
          <w:iCs/>
          <w:sz w:val="24"/>
          <w:szCs w:val="24"/>
        </w:rPr>
        <w:t xml:space="preserve">ze </w:t>
      </w:r>
      <w:r w:rsidR="001E50D6">
        <w:rPr>
          <w:rFonts w:ascii="Times New Roman" w:hAnsi="Times New Roman"/>
          <w:iCs/>
          <w:sz w:val="24"/>
          <w:szCs w:val="24"/>
        </w:rPr>
        <w:t xml:space="preserve">dne 15. </w:t>
      </w:r>
      <w:r w:rsidR="00EC2054">
        <w:rPr>
          <w:rFonts w:ascii="Times New Roman" w:hAnsi="Times New Roman"/>
          <w:iCs/>
          <w:sz w:val="24"/>
          <w:szCs w:val="24"/>
        </w:rPr>
        <w:t>6</w:t>
      </w:r>
      <w:r w:rsidR="001E50D6">
        <w:rPr>
          <w:rFonts w:ascii="Times New Roman" w:hAnsi="Times New Roman"/>
          <w:iCs/>
          <w:sz w:val="24"/>
          <w:szCs w:val="24"/>
        </w:rPr>
        <w:t>. 20</w:t>
      </w:r>
      <w:r w:rsidR="00EC2054">
        <w:rPr>
          <w:rFonts w:ascii="Times New Roman" w:hAnsi="Times New Roman"/>
          <w:iCs/>
          <w:sz w:val="24"/>
          <w:szCs w:val="24"/>
        </w:rPr>
        <w:t>22</w:t>
      </w:r>
      <w:r w:rsidR="00A65A76" w:rsidRPr="00A65A76">
        <w:rPr>
          <w:rFonts w:ascii="Times New Roman" w:hAnsi="Times New Roman"/>
          <w:iCs/>
          <w:sz w:val="24"/>
          <w:szCs w:val="24"/>
        </w:rPr>
        <w:t xml:space="preserve">, doručené dne </w:t>
      </w:r>
      <w:r w:rsidR="00EC2054">
        <w:rPr>
          <w:rFonts w:ascii="Times New Roman" w:hAnsi="Times New Roman"/>
          <w:iCs/>
          <w:sz w:val="24"/>
          <w:szCs w:val="24"/>
        </w:rPr>
        <w:t>15</w:t>
      </w:r>
      <w:r w:rsidR="001E50D6">
        <w:rPr>
          <w:rFonts w:ascii="Times New Roman" w:hAnsi="Times New Roman"/>
          <w:iCs/>
          <w:sz w:val="24"/>
          <w:szCs w:val="24"/>
        </w:rPr>
        <w:t xml:space="preserve">. </w:t>
      </w:r>
      <w:r w:rsidR="00EC2054">
        <w:rPr>
          <w:rFonts w:ascii="Times New Roman" w:hAnsi="Times New Roman"/>
          <w:iCs/>
          <w:sz w:val="24"/>
          <w:szCs w:val="24"/>
        </w:rPr>
        <w:t>6</w:t>
      </w:r>
      <w:r w:rsidR="001E50D6">
        <w:rPr>
          <w:rFonts w:ascii="Times New Roman" w:hAnsi="Times New Roman"/>
          <w:iCs/>
          <w:sz w:val="24"/>
          <w:szCs w:val="24"/>
        </w:rPr>
        <w:t>. 20</w:t>
      </w:r>
      <w:r w:rsidR="00EC2054">
        <w:rPr>
          <w:rFonts w:ascii="Times New Roman" w:hAnsi="Times New Roman"/>
          <w:iCs/>
          <w:sz w:val="24"/>
          <w:szCs w:val="24"/>
        </w:rPr>
        <w:t>22</w:t>
      </w:r>
      <w:r w:rsidR="00A65A76" w:rsidRPr="00A65A76">
        <w:rPr>
          <w:rFonts w:ascii="Times New Roman" w:hAnsi="Times New Roman"/>
          <w:iCs/>
          <w:sz w:val="24"/>
          <w:szCs w:val="24"/>
        </w:rPr>
        <w:t xml:space="preserve"> a evidované pod čj. </w:t>
      </w:r>
      <w:r w:rsidR="00EC2054" w:rsidRPr="00EC2054">
        <w:rPr>
          <w:rFonts w:ascii="Times New Roman" w:hAnsi="Times New Roman"/>
          <w:iCs/>
          <w:sz w:val="24"/>
          <w:szCs w:val="24"/>
        </w:rPr>
        <w:t>UKZUZ 105292/2022</w:t>
      </w:r>
      <w:r w:rsidR="006D0104">
        <w:rPr>
          <w:rFonts w:ascii="Times New Roman" w:hAnsi="Times New Roman"/>
          <w:iCs/>
          <w:sz w:val="24"/>
          <w:szCs w:val="24"/>
        </w:rPr>
        <w:t>,</w:t>
      </w:r>
    </w:p>
    <w:p w14:paraId="551CA7DB" w14:textId="77777777" w:rsidR="006D0104" w:rsidRDefault="006D0104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76052F3" w14:textId="77777777" w:rsidR="00662678" w:rsidRDefault="00662678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rozhodl takto:</w:t>
      </w:r>
    </w:p>
    <w:p w14:paraId="555B1EAD" w14:textId="77777777" w:rsidR="00A452DC" w:rsidRPr="00BA085F" w:rsidRDefault="00A452DC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23B4A9FE" w14:textId="77777777" w:rsidR="00A452DC" w:rsidRPr="00A452DC" w:rsidRDefault="00A452DC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52DC">
        <w:rPr>
          <w:rFonts w:ascii="Times New Roman" w:hAnsi="Times New Roman"/>
          <w:b/>
          <w:sz w:val="24"/>
          <w:szCs w:val="24"/>
        </w:rPr>
        <w:t xml:space="preserve">přípravek </w:t>
      </w:r>
      <w:proofErr w:type="spellStart"/>
      <w:r w:rsidR="001E50D6">
        <w:rPr>
          <w:rFonts w:ascii="Times New Roman" w:hAnsi="Times New Roman"/>
          <w:b/>
          <w:iCs/>
          <w:sz w:val="24"/>
          <w:szCs w:val="24"/>
        </w:rPr>
        <w:t>Stutox</w:t>
      </w:r>
      <w:proofErr w:type="spellEnd"/>
      <w:r w:rsidR="001E50D6">
        <w:rPr>
          <w:rFonts w:ascii="Times New Roman" w:hAnsi="Times New Roman"/>
          <w:b/>
          <w:iCs/>
          <w:sz w:val="24"/>
          <w:szCs w:val="24"/>
        </w:rPr>
        <w:t xml:space="preserve"> II</w:t>
      </w:r>
      <w:r w:rsidRPr="00A452DC">
        <w:rPr>
          <w:rFonts w:ascii="Times New Roman" w:hAnsi="Times New Roman"/>
          <w:b/>
          <w:sz w:val="24"/>
          <w:szCs w:val="24"/>
        </w:rPr>
        <w:t xml:space="preserve"> se povoluje k</w:t>
      </w:r>
      <w:r w:rsidR="00BA085F">
        <w:rPr>
          <w:rFonts w:ascii="Times New Roman" w:hAnsi="Times New Roman"/>
          <w:b/>
          <w:sz w:val="24"/>
          <w:szCs w:val="24"/>
        </w:rPr>
        <w:t xml:space="preserve"> </w:t>
      </w:r>
      <w:r w:rsidRPr="00A452DC">
        <w:rPr>
          <w:rFonts w:ascii="Times New Roman" w:hAnsi="Times New Roman"/>
          <w:b/>
          <w:sz w:val="24"/>
          <w:szCs w:val="24"/>
        </w:rPr>
        <w:t>uvádění na trh a používání za níže uvedených podmínek:</w:t>
      </w:r>
    </w:p>
    <w:p w14:paraId="64EA3243" w14:textId="77777777" w:rsidR="00C2185C" w:rsidRPr="001673F6" w:rsidRDefault="00C2185C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07972F00" w14:textId="77777777" w:rsidR="001E50D6" w:rsidRPr="00EC2054" w:rsidRDefault="00A65A76" w:rsidP="00C558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3969" w:hanging="3969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</w:rPr>
      </w:pP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>Doba platnosti povolení:</w:t>
      </w: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Pr="00A65A76">
        <w:rPr>
          <w:rFonts w:ascii="Times New Roman" w:hAnsi="Times New Roman"/>
          <w:iCs/>
          <w:snapToGrid w:val="0"/>
          <w:sz w:val="24"/>
          <w:szCs w:val="24"/>
        </w:rPr>
        <w:t xml:space="preserve">do </w:t>
      </w:r>
      <w:r w:rsidR="00AF5B46">
        <w:rPr>
          <w:rFonts w:ascii="Times New Roman" w:hAnsi="Times New Roman"/>
          <w:iCs/>
          <w:snapToGrid w:val="0"/>
          <w:sz w:val="24"/>
          <w:szCs w:val="24"/>
        </w:rPr>
        <w:t>30.</w:t>
      </w:r>
      <w:r w:rsidR="00EA4242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F5B46">
        <w:rPr>
          <w:rFonts w:ascii="Times New Roman" w:hAnsi="Times New Roman"/>
          <w:iCs/>
          <w:snapToGrid w:val="0"/>
          <w:sz w:val="24"/>
          <w:szCs w:val="24"/>
        </w:rPr>
        <w:t>4.</w:t>
      </w:r>
      <w:r w:rsidR="00EA4242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51B73">
        <w:rPr>
          <w:rFonts w:ascii="Times New Roman" w:hAnsi="Times New Roman"/>
          <w:iCs/>
          <w:snapToGrid w:val="0"/>
          <w:sz w:val="24"/>
          <w:szCs w:val="24"/>
        </w:rPr>
        <w:t>2025</w:t>
      </w:r>
    </w:p>
    <w:p w14:paraId="4DF2D3BD" w14:textId="77777777" w:rsidR="00A65A76" w:rsidRPr="00A65A76" w:rsidRDefault="00A65A76" w:rsidP="00C558E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76" w:lineRule="auto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77B1D119" w14:textId="77777777" w:rsidR="00A65A76" w:rsidRPr="00A65A76" w:rsidRDefault="00A65A76" w:rsidP="00C558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3969" w:hanging="3685"/>
        <w:jc w:val="both"/>
        <w:rPr>
          <w:rFonts w:ascii="Times New Roman" w:hAnsi="Times New Roman"/>
          <w:i/>
          <w:sz w:val="24"/>
          <w:szCs w:val="24"/>
        </w:rPr>
      </w:pP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1E50D6">
        <w:rPr>
          <w:rFonts w:ascii="Times New Roman" w:hAnsi="Times New Roman"/>
          <w:b/>
          <w:iCs/>
          <w:snapToGrid w:val="0"/>
          <w:sz w:val="24"/>
          <w:szCs w:val="24"/>
        </w:rPr>
        <w:t>Stutox</w:t>
      </w:r>
      <w:proofErr w:type="spellEnd"/>
      <w:r w:rsidR="001E50D6">
        <w:rPr>
          <w:rFonts w:ascii="Times New Roman" w:hAnsi="Times New Roman"/>
          <w:b/>
          <w:iCs/>
          <w:snapToGrid w:val="0"/>
          <w:sz w:val="24"/>
          <w:szCs w:val="24"/>
        </w:rPr>
        <w:t xml:space="preserve"> II</w:t>
      </w:r>
    </w:p>
    <w:p w14:paraId="7BAFAB4F" w14:textId="77777777" w:rsidR="00A65A76" w:rsidRPr="00A65A76" w:rsidRDefault="00A65A76" w:rsidP="00C558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3969" w:hanging="3685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>Evidenční číslo přípravku:</w:t>
      </w: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1E50D6">
        <w:rPr>
          <w:rFonts w:ascii="Times New Roman" w:hAnsi="Times New Roman"/>
          <w:iCs/>
          <w:snapToGrid w:val="0"/>
          <w:sz w:val="24"/>
          <w:szCs w:val="24"/>
        </w:rPr>
        <w:t>5114-0</w:t>
      </w:r>
    </w:p>
    <w:p w14:paraId="1D4BE006" w14:textId="77777777" w:rsidR="00A65A76" w:rsidRPr="00AF5B46" w:rsidRDefault="00A65A76" w:rsidP="00C558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3969" w:hanging="3685"/>
        <w:jc w:val="both"/>
        <w:rPr>
          <w:rFonts w:ascii="Times New Roman" w:hAnsi="Times New Roman"/>
          <w:sz w:val="24"/>
          <w:szCs w:val="24"/>
        </w:rPr>
      </w:pPr>
      <w:r w:rsidRPr="00AF5B46"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 w:rsidRPr="00AF5B4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AF5B46" w:rsidRPr="00AF5B46">
        <w:rPr>
          <w:rFonts w:ascii="Times New Roman" w:hAnsi="Times New Roman"/>
          <w:iCs/>
          <w:snapToGrid w:val="0"/>
          <w:sz w:val="24"/>
          <w:szCs w:val="24"/>
        </w:rPr>
        <w:t>fosfid zinečnatý 25 g/kg</w:t>
      </w:r>
    </w:p>
    <w:p w14:paraId="02DE166F" w14:textId="77777777" w:rsidR="00A65A76" w:rsidRPr="00AF5B46" w:rsidRDefault="00A65A76" w:rsidP="00C558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3969" w:hanging="3685"/>
        <w:jc w:val="both"/>
        <w:rPr>
          <w:rFonts w:ascii="Times New Roman" w:hAnsi="Times New Roman"/>
          <w:snapToGrid w:val="0"/>
          <w:sz w:val="24"/>
          <w:szCs w:val="24"/>
        </w:rPr>
      </w:pPr>
      <w:r w:rsidRPr="00AF5B46">
        <w:rPr>
          <w:rFonts w:ascii="Times New Roman" w:hAnsi="Times New Roman"/>
          <w:i/>
          <w:iCs/>
          <w:snapToGrid w:val="0"/>
          <w:sz w:val="24"/>
          <w:szCs w:val="24"/>
        </w:rPr>
        <w:t>Formulační úprava:</w:t>
      </w:r>
      <w:r w:rsidRPr="00AF5B4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AF5B46" w:rsidRPr="00AF5B46">
        <w:rPr>
          <w:rFonts w:ascii="Times New Roman" w:hAnsi="Times New Roman"/>
          <w:iCs/>
          <w:sz w:val="24"/>
          <w:szCs w:val="24"/>
        </w:rPr>
        <w:t>návnada k</w:t>
      </w:r>
      <w:r w:rsidR="001673F6">
        <w:rPr>
          <w:rFonts w:ascii="Times New Roman" w:hAnsi="Times New Roman"/>
          <w:iCs/>
          <w:sz w:val="24"/>
          <w:szCs w:val="24"/>
        </w:rPr>
        <w:t xml:space="preserve"> </w:t>
      </w:r>
      <w:r w:rsidR="00AF5B46" w:rsidRPr="00AF5B46">
        <w:rPr>
          <w:rFonts w:ascii="Times New Roman" w:hAnsi="Times New Roman"/>
          <w:iCs/>
          <w:sz w:val="24"/>
          <w:szCs w:val="24"/>
        </w:rPr>
        <w:t>přímému použití</w:t>
      </w:r>
    </w:p>
    <w:p w14:paraId="1D0F420B" w14:textId="77777777" w:rsidR="00A65A76" w:rsidRPr="00A65A76" w:rsidRDefault="00A65A76" w:rsidP="00C558E6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3969" w:hanging="3685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přípravku:</w:t>
      </w:r>
      <w:r w:rsidRPr="00A65A76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AF5B46">
        <w:rPr>
          <w:rFonts w:ascii="Times New Roman" w:hAnsi="Times New Roman"/>
          <w:iCs/>
          <w:snapToGrid w:val="0"/>
          <w:sz w:val="24"/>
          <w:szCs w:val="24"/>
        </w:rPr>
        <w:t>rodenticid</w:t>
      </w:r>
    </w:p>
    <w:p w14:paraId="6D656FCB" w14:textId="77777777" w:rsidR="00EA4242" w:rsidRDefault="00EA4242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77EC0BF" w14:textId="77777777" w:rsidR="00EC2054" w:rsidRDefault="00EC2054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4B53EED" w14:textId="77777777" w:rsidR="00EC2054" w:rsidRDefault="00EC2054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83BADEA" w14:textId="77777777" w:rsidR="00EC2054" w:rsidRPr="001E50D6" w:rsidRDefault="00EC2054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48BBD1A" w14:textId="77777777" w:rsidR="001E50D6" w:rsidRPr="001E50D6" w:rsidRDefault="001E50D6" w:rsidP="00C558E6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i/>
          <w:iCs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5FE27924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50D6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1E50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50D6">
        <w:rPr>
          <w:rFonts w:ascii="Times New Roman" w:hAnsi="Times New Roman"/>
          <w:bCs/>
          <w:sz w:val="24"/>
          <w:szCs w:val="24"/>
        </w:rPr>
        <w:t>Tox</w:t>
      </w:r>
      <w:proofErr w:type="spellEnd"/>
      <w:r w:rsidRPr="001E50D6">
        <w:rPr>
          <w:rFonts w:ascii="Times New Roman" w:hAnsi="Times New Roman"/>
          <w:bCs/>
          <w:sz w:val="24"/>
          <w:szCs w:val="24"/>
        </w:rPr>
        <w:t>. 4, H302;</w:t>
      </w:r>
      <w:r w:rsidR="00EC205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28E3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B628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28E3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B628E3">
        <w:rPr>
          <w:rFonts w:ascii="Times New Roman" w:hAnsi="Times New Roman"/>
          <w:bCs/>
          <w:sz w:val="24"/>
          <w:szCs w:val="24"/>
        </w:rPr>
        <w:t xml:space="preserve"> 1, H400;</w:t>
      </w:r>
      <w:r w:rsidRPr="001E50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50D6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1E50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50D6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1E50D6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0E4E4D19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F06496" w14:textId="77777777" w:rsidR="001E50D6" w:rsidRPr="001E50D6" w:rsidRDefault="001E50D6" w:rsidP="00C558E6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5D4FCAA6" w14:textId="77777777" w:rsidR="001E50D6" w:rsidRDefault="001E50D6" w:rsidP="00C558E6">
      <w:pPr>
        <w:widowControl w:val="0"/>
        <w:numPr>
          <w:ilvl w:val="6"/>
          <w:numId w:val="3"/>
        </w:numPr>
        <w:tabs>
          <w:tab w:val="clear" w:pos="5520"/>
          <w:tab w:val="left" w:pos="567"/>
          <w:tab w:val="left" w:pos="709"/>
          <w:tab w:val="num" w:pos="5747"/>
        </w:tabs>
        <w:autoSpaceDE w:val="0"/>
        <w:autoSpaceDN w:val="0"/>
        <w:spacing w:after="0" w:line="276" w:lineRule="auto"/>
        <w:ind w:left="284" w:firstLine="0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Výstražné symboly podle přílohy V</w:t>
      </w:r>
      <w:r w:rsidR="00BA085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 xml:space="preserve">nařízení </w:t>
      </w: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(ES) č. 1272/2008, v platném znění:</w:t>
      </w:r>
    </w:p>
    <w:p w14:paraId="591E1B65" w14:textId="04FE442B" w:rsidR="00BD6B6D" w:rsidRPr="00BD6B6D" w:rsidRDefault="009B174D" w:rsidP="00BD6B6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CCBE25" wp14:editId="72FD9306">
            <wp:simplePos x="0" y="0"/>
            <wp:positionH relativeFrom="column">
              <wp:posOffset>1257935</wp:posOffset>
            </wp:positionH>
            <wp:positionV relativeFrom="paragraph">
              <wp:posOffset>200025</wp:posOffset>
            </wp:positionV>
            <wp:extent cx="685800" cy="685800"/>
            <wp:effectExtent l="0" t="0" r="0" b="0"/>
            <wp:wrapSquare wrapText="bothSides"/>
            <wp:docPr id="4" name="obrázek 29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CA67" w14:textId="4B31EE06" w:rsidR="001E50D6" w:rsidRDefault="009B174D" w:rsidP="00C558E6">
      <w:pPr>
        <w:widowControl w:val="0"/>
        <w:spacing w:after="0" w:line="276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1E50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C66988" wp14:editId="6CC7E1E5">
            <wp:extent cx="695325" cy="695325"/>
            <wp:effectExtent l="0" t="0" r="0" b="0"/>
            <wp:docPr id="1" name="obrázek 3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HS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0D6" w:rsidRPr="001E50D6">
        <w:rPr>
          <w:rFonts w:ascii="Times New Roman" w:hAnsi="Times New Roman"/>
          <w:bCs/>
          <w:sz w:val="24"/>
          <w:szCs w:val="24"/>
        </w:rPr>
        <w:t xml:space="preserve">   </w:t>
      </w:r>
    </w:p>
    <w:p w14:paraId="731AD404" w14:textId="77777777" w:rsidR="0076189C" w:rsidRPr="001E50D6" w:rsidRDefault="0076189C" w:rsidP="00C558E6">
      <w:pPr>
        <w:widowControl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448E5E" w14:textId="77777777" w:rsidR="001E50D6" w:rsidRPr="001E50D6" w:rsidRDefault="001E50D6" w:rsidP="00C558E6">
      <w:pPr>
        <w:widowControl w:val="0"/>
        <w:numPr>
          <w:ilvl w:val="6"/>
          <w:numId w:val="3"/>
        </w:numPr>
        <w:tabs>
          <w:tab w:val="clear" w:pos="5520"/>
          <w:tab w:val="left" w:pos="567"/>
          <w:tab w:val="left" w:pos="709"/>
          <w:tab w:val="num" w:pos="5747"/>
        </w:tabs>
        <w:autoSpaceDE w:val="0"/>
        <w:autoSpaceDN w:val="0"/>
        <w:spacing w:after="0" w:line="276" w:lineRule="auto"/>
        <w:ind w:left="284" w:firstLine="0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4C16A229" w14:textId="77777777" w:rsidR="001E50D6" w:rsidRDefault="001E50D6" w:rsidP="00C558E6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spacing w:after="0" w:line="276" w:lineRule="auto"/>
        <w:ind w:left="567"/>
        <w:rPr>
          <w:rFonts w:ascii="Times New Roman" w:hAnsi="Times New Roman"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1B57DBF5" w14:textId="77777777" w:rsidR="00EC2054" w:rsidRPr="001E50D6" w:rsidRDefault="00EC2054" w:rsidP="00C558E6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spacing w:after="0" w:line="276" w:lineRule="auto"/>
        <w:rPr>
          <w:rFonts w:ascii="Times New Roman" w:hAnsi="Times New Roman"/>
          <w:iCs/>
          <w:snapToGrid w:val="0"/>
          <w:sz w:val="24"/>
          <w:szCs w:val="24"/>
        </w:rPr>
      </w:pPr>
    </w:p>
    <w:p w14:paraId="149E1069" w14:textId="77777777" w:rsidR="001E50D6" w:rsidRPr="001E50D6" w:rsidRDefault="001E50D6" w:rsidP="00C558E6">
      <w:pPr>
        <w:widowControl w:val="0"/>
        <w:numPr>
          <w:ilvl w:val="6"/>
          <w:numId w:val="3"/>
        </w:numPr>
        <w:tabs>
          <w:tab w:val="clear" w:pos="5520"/>
          <w:tab w:val="left" w:pos="567"/>
          <w:tab w:val="left" w:pos="709"/>
        </w:tabs>
        <w:autoSpaceDE w:val="0"/>
        <w:autoSpaceDN w:val="0"/>
        <w:spacing w:after="0" w:line="276" w:lineRule="auto"/>
        <w:ind w:left="567" w:hanging="283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 č. 1272/2008, v platném znění:</w:t>
      </w:r>
    </w:p>
    <w:p w14:paraId="0EE84DC9" w14:textId="77777777" w:rsidR="001E50D6" w:rsidRPr="001E50D6" w:rsidRDefault="001E50D6" w:rsidP="00C558E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567"/>
        <w:rPr>
          <w:rFonts w:ascii="Times New Roman" w:hAnsi="Times New Roman"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Cs/>
          <w:snapToGrid w:val="0"/>
          <w:sz w:val="24"/>
          <w:szCs w:val="24"/>
        </w:rPr>
        <w:t>H302 Zdraví škodlivý při požití.</w:t>
      </w:r>
    </w:p>
    <w:p w14:paraId="00FCCFFF" w14:textId="77777777" w:rsidR="001E50D6" w:rsidRPr="001E50D6" w:rsidRDefault="001E50D6" w:rsidP="00C558E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567"/>
        <w:rPr>
          <w:rFonts w:ascii="Times New Roman" w:hAnsi="Times New Roman"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Cs/>
          <w:snapToGrid w:val="0"/>
          <w:sz w:val="24"/>
          <w:szCs w:val="24"/>
        </w:rPr>
        <w:t>H410 Vysoce toxický pro vodní organismy, s dlouhodobými účinky.</w:t>
      </w:r>
    </w:p>
    <w:p w14:paraId="7DC4110C" w14:textId="77777777" w:rsidR="001E50D6" w:rsidRPr="001E50D6" w:rsidRDefault="001E50D6" w:rsidP="00C558E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76" w:lineRule="auto"/>
        <w:rPr>
          <w:rFonts w:ascii="Times New Roman" w:hAnsi="Times New Roman"/>
          <w:iCs/>
          <w:snapToGrid w:val="0"/>
          <w:sz w:val="24"/>
          <w:szCs w:val="24"/>
        </w:rPr>
      </w:pPr>
    </w:p>
    <w:p w14:paraId="65CEE807" w14:textId="77777777" w:rsidR="001E50D6" w:rsidRPr="001E50D6" w:rsidRDefault="001E50D6" w:rsidP="00C558E6">
      <w:pPr>
        <w:widowControl w:val="0"/>
        <w:numPr>
          <w:ilvl w:val="6"/>
          <w:numId w:val="3"/>
        </w:numPr>
        <w:tabs>
          <w:tab w:val="clear" w:pos="5520"/>
          <w:tab w:val="left" w:pos="567"/>
          <w:tab w:val="left" w:pos="709"/>
        </w:tabs>
        <w:autoSpaceDE w:val="0"/>
        <w:autoSpaceDN w:val="0"/>
        <w:spacing w:after="0" w:line="276" w:lineRule="auto"/>
        <w:ind w:left="567" w:hanging="283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Označení z</w:t>
      </w:r>
      <w:r w:rsidR="00BA085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 xml:space="preserve">hlediska ochrany zdraví člověka podle přílohy II nařízení (ES) č. 1272/2008, </w:t>
      </w: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DA844DC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1E50D6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 životní prostředí.</w:t>
      </w:r>
    </w:p>
    <w:p w14:paraId="4B66907A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Cs/>
          <w:snapToGrid w:val="0"/>
          <w:sz w:val="24"/>
          <w:szCs w:val="24"/>
        </w:rPr>
        <w:t>EUH032 Uvolňuje vysoce toxický plyn při styku s kyselinami.</w:t>
      </w:r>
    </w:p>
    <w:p w14:paraId="38C16905" w14:textId="77777777" w:rsidR="001E50D6" w:rsidRPr="001E50D6" w:rsidRDefault="001E50D6" w:rsidP="00C558E6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6EE6B057" w14:textId="77777777" w:rsidR="001E50D6" w:rsidRPr="001E50D6" w:rsidRDefault="001E50D6" w:rsidP="00C558E6">
      <w:pPr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547/2011:</w:t>
      </w:r>
    </w:p>
    <w:p w14:paraId="2307FD68" w14:textId="77777777" w:rsidR="001E50D6" w:rsidRPr="001E50D6" w:rsidRDefault="001E50D6" w:rsidP="00C558E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Informace k příbalovému letáku dle přílohy I odst. 1 písm. p) nařízení Komise (EU) č.</w:t>
      </w:r>
      <w:r w:rsidR="0076189C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>547/2011:</w:t>
      </w:r>
    </w:p>
    <w:p w14:paraId="049145BE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E50D6">
        <w:rPr>
          <w:rFonts w:ascii="Times New Roman" w:hAnsi="Times New Roman"/>
          <w:sz w:val="24"/>
          <w:szCs w:val="24"/>
        </w:rPr>
        <w:t>Před použitím si přečtěte přiložený návod k</w:t>
      </w:r>
      <w:r w:rsidR="001673F6">
        <w:rPr>
          <w:rFonts w:ascii="Times New Roman" w:hAnsi="Times New Roman"/>
          <w:sz w:val="24"/>
          <w:szCs w:val="24"/>
        </w:rPr>
        <w:t xml:space="preserve"> </w:t>
      </w:r>
      <w:r w:rsidRPr="001E50D6">
        <w:rPr>
          <w:rFonts w:ascii="Times New Roman" w:hAnsi="Times New Roman"/>
          <w:sz w:val="24"/>
          <w:szCs w:val="24"/>
        </w:rPr>
        <w:t>použití.</w:t>
      </w:r>
    </w:p>
    <w:p w14:paraId="542D3E06" w14:textId="77777777" w:rsidR="001E50D6" w:rsidRPr="001E50D6" w:rsidRDefault="001E50D6" w:rsidP="00C558E6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66B14844" w14:textId="77777777" w:rsidR="001E50D6" w:rsidRPr="001E50D6" w:rsidRDefault="001E50D6" w:rsidP="00C558E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nařízení Komise (EU) č. 547/2011:</w:t>
      </w:r>
    </w:p>
    <w:p w14:paraId="3A2E3B9C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E50D6">
        <w:rPr>
          <w:rFonts w:ascii="Times New Roman" w:hAnsi="Times New Roman"/>
          <w:sz w:val="24"/>
          <w:szCs w:val="24"/>
        </w:rPr>
        <w:t>Doba použitelnosti: 2 roky od data výroby; teplota skladování +5</w:t>
      </w:r>
      <w:r w:rsidRPr="001E50D6">
        <w:rPr>
          <w:rFonts w:ascii="Times New Roman" w:hAnsi="Times New Roman"/>
          <w:sz w:val="24"/>
          <w:szCs w:val="24"/>
          <w:vertAlign w:val="superscript"/>
        </w:rPr>
        <w:t>o</w:t>
      </w:r>
      <w:r w:rsidRPr="001E50D6">
        <w:rPr>
          <w:rFonts w:ascii="Times New Roman" w:hAnsi="Times New Roman"/>
          <w:sz w:val="24"/>
          <w:szCs w:val="24"/>
        </w:rPr>
        <w:t>C až +30</w:t>
      </w:r>
      <w:r w:rsidRPr="001E50D6">
        <w:rPr>
          <w:rFonts w:ascii="Times New Roman" w:hAnsi="Times New Roman"/>
          <w:sz w:val="24"/>
          <w:szCs w:val="24"/>
          <w:vertAlign w:val="superscript"/>
        </w:rPr>
        <w:t>o</w:t>
      </w:r>
      <w:r w:rsidRPr="001E50D6">
        <w:rPr>
          <w:rFonts w:ascii="Times New Roman" w:hAnsi="Times New Roman"/>
          <w:sz w:val="24"/>
          <w:szCs w:val="24"/>
        </w:rPr>
        <w:t>C</w:t>
      </w:r>
      <w:r w:rsidR="0076189C">
        <w:rPr>
          <w:rFonts w:ascii="Times New Roman" w:hAnsi="Times New Roman"/>
          <w:sz w:val="24"/>
          <w:szCs w:val="24"/>
        </w:rPr>
        <w:t>.</w:t>
      </w:r>
    </w:p>
    <w:p w14:paraId="1AB1A086" w14:textId="77777777" w:rsidR="001E50D6" w:rsidRPr="001673F6" w:rsidRDefault="001E50D6" w:rsidP="00C558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2B67E7C8" w14:textId="77777777" w:rsidR="001E50D6" w:rsidRPr="001E50D6" w:rsidRDefault="001E50D6" w:rsidP="00C558E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76189C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>547/2011 přípravek používat:</w:t>
      </w:r>
    </w:p>
    <w:p w14:paraId="4C33B8D9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1E50D6">
        <w:rPr>
          <w:rFonts w:ascii="Times New Roman" w:hAnsi="Times New Roman"/>
          <w:snapToGrid w:val="0"/>
          <w:sz w:val="24"/>
          <w:szCs w:val="24"/>
        </w:rPr>
        <w:t>Profesionální uživatel</w:t>
      </w:r>
    </w:p>
    <w:p w14:paraId="77474AD3" w14:textId="77777777" w:rsidR="001E50D6" w:rsidRPr="0076189C" w:rsidRDefault="001E50D6" w:rsidP="00C558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050E735F" w14:textId="77777777" w:rsidR="001E50D6" w:rsidRPr="001E50D6" w:rsidRDefault="001E50D6" w:rsidP="00C558E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</w:t>
      </w:r>
      <w:r w:rsidR="00BA085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>příloze III nařízení Komise (EU) č. 547/2011:</w:t>
      </w:r>
    </w:p>
    <w:p w14:paraId="166CBA96" w14:textId="77777777" w:rsidR="001E50D6" w:rsidRPr="001E50D6" w:rsidRDefault="001E50D6" w:rsidP="00C558E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851" w:hanging="142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643ED35F" w14:textId="77777777" w:rsidR="001E50D6" w:rsidRPr="001E50D6" w:rsidRDefault="001E50D6" w:rsidP="00C558E6">
      <w:pPr>
        <w:widowControl w:val="0"/>
        <w:snapToGrid w:val="0"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E50D6">
        <w:rPr>
          <w:rFonts w:ascii="Times New Roman" w:hAnsi="Times New Roman"/>
          <w:sz w:val="24"/>
          <w:szCs w:val="24"/>
        </w:rPr>
        <w:t>SP1 Neznečišťujte vody přípravkem nebo jeho obalem. (Nečistěte aplikační zařízení v blízkosti povrchových vod/Zabraňte kontaminaci vod splachem z farem a z cest).</w:t>
      </w:r>
    </w:p>
    <w:p w14:paraId="593FDD45" w14:textId="77777777" w:rsidR="001E50D6" w:rsidRDefault="001E50D6" w:rsidP="00C558E6">
      <w:pPr>
        <w:widowControl w:val="0"/>
        <w:tabs>
          <w:tab w:val="left" w:pos="709"/>
          <w:tab w:val="left" w:pos="3402"/>
        </w:tabs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188047" w14:textId="77777777" w:rsidR="0076189C" w:rsidRDefault="0076189C" w:rsidP="00C558E6">
      <w:pPr>
        <w:widowControl w:val="0"/>
        <w:tabs>
          <w:tab w:val="left" w:pos="709"/>
          <w:tab w:val="left" w:pos="3402"/>
        </w:tabs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DDFF7" w14:textId="77777777" w:rsidR="00C558E6" w:rsidRPr="001E50D6" w:rsidRDefault="00C558E6" w:rsidP="00C558E6">
      <w:pPr>
        <w:widowControl w:val="0"/>
        <w:tabs>
          <w:tab w:val="left" w:pos="709"/>
          <w:tab w:val="left" w:pos="3402"/>
        </w:tabs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685B4BE" w14:textId="77777777" w:rsidR="001E50D6" w:rsidRPr="001E50D6" w:rsidRDefault="001E50D6" w:rsidP="00C558E6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851" w:hanging="142"/>
        <w:jc w:val="both"/>
        <w:rPr>
          <w:rFonts w:ascii="Times New Roman" w:hAnsi="Times New Roman"/>
          <w:i/>
          <w:sz w:val="24"/>
          <w:szCs w:val="24"/>
        </w:rPr>
      </w:pPr>
      <w:r w:rsidRPr="001E50D6">
        <w:rPr>
          <w:rFonts w:ascii="Times New Roman" w:hAnsi="Times New Roman"/>
          <w:i/>
          <w:sz w:val="24"/>
          <w:szCs w:val="24"/>
        </w:rPr>
        <w:t>Zvláštní bezpečnostní opatření týkající se prostředků k hubení hlodavců</w:t>
      </w:r>
    </w:p>
    <w:p w14:paraId="7273955C" w14:textId="77777777" w:rsidR="001E50D6" w:rsidRPr="001E50D6" w:rsidRDefault="001E50D6" w:rsidP="00C558E6">
      <w:pPr>
        <w:widowControl w:val="0"/>
        <w:tabs>
          <w:tab w:val="left" w:pos="709"/>
          <w:tab w:val="left" w:pos="3402"/>
        </w:tabs>
        <w:snapToGrid w:val="0"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E50D6">
        <w:rPr>
          <w:rFonts w:ascii="Times New Roman" w:hAnsi="Times New Roman"/>
          <w:sz w:val="24"/>
          <w:szCs w:val="24"/>
        </w:rPr>
        <w:t>SPr1 Nástrahy musí být kladeny tak, aby se minimalizovalo riziko požití jinými zvířaty. Zabezpečte nástrahy, aby nemohly být hlodavci rozvlékány.</w:t>
      </w:r>
    </w:p>
    <w:p w14:paraId="5735EE42" w14:textId="77777777" w:rsidR="001E50D6" w:rsidRPr="001E50D6" w:rsidRDefault="001E50D6" w:rsidP="00C558E6">
      <w:pPr>
        <w:widowControl w:val="0"/>
        <w:tabs>
          <w:tab w:val="left" w:pos="709"/>
          <w:tab w:val="left" w:pos="3402"/>
        </w:tabs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023790" w14:textId="77777777" w:rsidR="001E50D6" w:rsidRPr="001E50D6" w:rsidRDefault="001E50D6" w:rsidP="00C558E6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</w:t>
      </w:r>
      <w:r w:rsidR="0076189C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i/>
          <w:snapToGrid w:val="0"/>
          <w:sz w:val="24"/>
          <w:szCs w:val="24"/>
        </w:rPr>
        <w:t>547/2011:</w:t>
      </w:r>
    </w:p>
    <w:p w14:paraId="2F1A6422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Všeobecné pokyny: VŽDY při požití nebo projeví-li se zdravotní potíže (malátnost, zaléhání či hučení v uších, pokles krevního tlaku, nevolnost nebo tlak na prsou, závratě, bolest hlavy; popřípadě další jako jsou zvracení, bolesti břicha, průjem, bolesti a slabost ve svalech, obluzenost, dýchací potíže, dušnost, nepravidelný tep, srdeční selhání, popřípadě bezvědomí nebo křeče apod.) nebo v případě pochybností OKAMŽITĚ přivolejte lékařskou pomoc a poskytněte jí informace ze štítku, příbalového letáku nebo bezpečnostního listu.</w:t>
      </w:r>
    </w:p>
    <w:p w14:paraId="22803782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Při případné obluzenosti nebo bezvědomí umístěte postiženého do zotavovací (dříve stabilizované) polohy na boku, zajistěte průchodnost dýchacích cest a ihned kontaktujte lékařskou pomoc.</w:t>
      </w:r>
    </w:p>
    <w:p w14:paraId="2BDE30D2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První pomoc při nadýchání: Přerušte práci. Přejděte na čerstvý vzduch. Zajistěte tělesný i duševní klid.</w:t>
      </w:r>
    </w:p>
    <w:p w14:paraId="0603C3C8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První pomoc při zasažení kůže: Odstraňte pomocí suché látky zbytky přípravku z pokožky. Poté ji důkladně umyjte vodou a mýdlem na dobře větraném místě. Odložte kontaminovaný oděv.</w:t>
      </w:r>
    </w:p>
    <w:p w14:paraId="597A7AD0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První pomoc při zasažení očí: Opatrně setřete pomocí suché látky zbytky přípravku z okolí očí, až poté vyplachujte oči čistou tekoucí vodou a současně odstraňte kontaktní čočky, jsou-li nasazeny, a pokud je lze snadno vyjmout. Kontaminované kontaktní čočky nelze znovu používat a je třeba je zlikvidovat.</w:t>
      </w:r>
    </w:p>
    <w:p w14:paraId="4AC66F61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 xml:space="preserve">První pomoc při náhodném požití: Po požití a reakci se žaludečními kyselinami se uvolní nebezpečný </w:t>
      </w:r>
      <w:proofErr w:type="spellStart"/>
      <w:r w:rsidRPr="00B51B73">
        <w:rPr>
          <w:rFonts w:ascii="Times New Roman" w:hAnsi="Times New Roman"/>
          <w:bCs/>
          <w:sz w:val="24"/>
          <w:szCs w:val="24"/>
        </w:rPr>
        <w:t>fosfin</w:t>
      </w:r>
      <w:proofErr w:type="spellEnd"/>
      <w:r w:rsidRPr="00B51B73">
        <w:rPr>
          <w:rFonts w:ascii="Times New Roman" w:hAnsi="Times New Roman"/>
          <w:bCs/>
          <w:sz w:val="24"/>
          <w:szCs w:val="24"/>
        </w:rPr>
        <w:t>. Pokud je postižený při vědomí zkuste vyvolat zvracení např. mechanickým drážděním kořene jazyka. Objeví se zvracení, umístěte hlavu postiženého do polohy níže než boky, aby se zabránilo vdechnutí zvratků.</w:t>
      </w:r>
    </w:p>
    <w:p w14:paraId="39ABB2B5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 xml:space="preserve">Při vyhledání lékařského ošetření informujte lékaře o přípravku, se kterým postižený pracoval, upozorněte zejména na riziko uvolnění </w:t>
      </w:r>
      <w:proofErr w:type="spellStart"/>
      <w:r w:rsidRPr="00B51B73">
        <w:rPr>
          <w:rFonts w:ascii="Times New Roman" w:hAnsi="Times New Roman"/>
          <w:bCs/>
          <w:sz w:val="24"/>
          <w:szCs w:val="24"/>
        </w:rPr>
        <w:t>fosfinu</w:t>
      </w:r>
      <w:proofErr w:type="spellEnd"/>
      <w:r w:rsidRPr="00B51B73">
        <w:rPr>
          <w:rFonts w:ascii="Times New Roman" w:hAnsi="Times New Roman"/>
          <w:bCs/>
          <w:sz w:val="24"/>
          <w:szCs w:val="24"/>
        </w:rPr>
        <w:t xml:space="preserve"> z fosfidu zinečnatého a podrobně informujte o poskytnuté první pomoci. V případě potřeby lze další postup při první pomoci (i event. následnou terapii) konzultovat s Toxikologickým informačním střediskem: Telefon nepřetržitě: 224 919 293 nebo 224 915 402.</w:t>
      </w:r>
    </w:p>
    <w:p w14:paraId="0AF394C3" w14:textId="77777777" w:rsidR="001E50D6" w:rsidRPr="00B51B73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51B73">
        <w:rPr>
          <w:rFonts w:ascii="Times New Roman" w:hAnsi="Times New Roman"/>
          <w:bCs/>
          <w:sz w:val="24"/>
          <w:szCs w:val="24"/>
        </w:rPr>
        <w:t>Informace pro lékaře: Vždy sledovat ve zdravotnickém zařízení minimálně 2 dny. Příznaky spojené se selháním ledvin nebo jater se mohou objevit se zpožděním až 48 hodin.</w:t>
      </w:r>
    </w:p>
    <w:p w14:paraId="3D9EA97F" w14:textId="77777777" w:rsidR="001E50D6" w:rsidRPr="001E50D6" w:rsidRDefault="001E50D6" w:rsidP="00C558E6">
      <w:pPr>
        <w:pStyle w:val="Odstavecseseznamem"/>
        <w:widowControl w:val="0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E50D6">
        <w:rPr>
          <w:rFonts w:ascii="Times New Roman" w:hAnsi="Times New Roman"/>
          <w:bCs/>
          <w:sz w:val="24"/>
          <w:szCs w:val="24"/>
        </w:rPr>
        <w:t xml:space="preserve">Specifické </w:t>
      </w:r>
      <w:proofErr w:type="spellStart"/>
      <w:r w:rsidRPr="001E50D6">
        <w:rPr>
          <w:rFonts w:ascii="Times New Roman" w:hAnsi="Times New Roman"/>
          <w:bCs/>
          <w:sz w:val="24"/>
          <w:szCs w:val="24"/>
        </w:rPr>
        <w:t>antidotum</w:t>
      </w:r>
      <w:proofErr w:type="spellEnd"/>
      <w:r w:rsidRPr="001E50D6">
        <w:rPr>
          <w:rFonts w:ascii="Times New Roman" w:hAnsi="Times New Roman"/>
          <w:bCs/>
          <w:sz w:val="24"/>
          <w:szCs w:val="24"/>
        </w:rPr>
        <w:t xml:space="preserve"> neexistuje. Léčba symptomatická. Udržení oběhu (popř. noradrenalin v infuzi), rehydratace, úprava minerálů a acidobazické rovnováhy, jaterní dieta.</w:t>
      </w:r>
    </w:p>
    <w:p w14:paraId="0AD950DF" w14:textId="77777777" w:rsidR="001E50D6" w:rsidRDefault="001E50D6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00256C" w14:textId="77777777" w:rsidR="0076189C" w:rsidRDefault="0076189C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A872BA" w14:textId="77777777" w:rsidR="0076189C" w:rsidRDefault="0076189C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464940" w14:textId="77777777" w:rsidR="0076189C" w:rsidRDefault="0076189C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74E382" w14:textId="77777777" w:rsidR="00C558E6" w:rsidRDefault="00C558E6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48C21B" w14:textId="77777777" w:rsidR="0076189C" w:rsidRPr="001E50D6" w:rsidRDefault="0076189C" w:rsidP="00C558E6">
      <w:pPr>
        <w:pStyle w:val="Odstavecseseznamem"/>
        <w:widowControl w:val="0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4B2B0C" w14:textId="77777777" w:rsidR="001E50D6" w:rsidRPr="001E50D6" w:rsidRDefault="001E50D6" w:rsidP="00C558E6">
      <w:pPr>
        <w:widowControl w:val="0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05BF4FC4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Ochrana dýchacích orgánů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není nutná</w:t>
      </w:r>
    </w:p>
    <w:p w14:paraId="1763D4F8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Ochrana rukou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gumové nebo plastové rukavice označené piktogramem pro chemická nebezpečí podle ČSN EN 420+A1 s kódem podle ČSN EN ISO 374-1</w:t>
      </w:r>
    </w:p>
    <w:p w14:paraId="6BEDDB7F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Ochrana očí a obličeje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není nutná</w:t>
      </w:r>
    </w:p>
    <w:p w14:paraId="1F0A9A30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Ochrana těla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celkový ochranný oděv např. podle ČSN EN ISO 13982-1+A1, ČSN EN ISO 27065 nebo jiný ochranný oděv označený grafickou značkou „ochrana proti chemikáliím“ podle ČSN EN ISO 13688</w:t>
      </w:r>
    </w:p>
    <w:p w14:paraId="74C9F16F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Dodatečná ochrana hlavy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není nutná</w:t>
      </w:r>
    </w:p>
    <w:p w14:paraId="024032E7" w14:textId="77777777" w:rsidR="001E50D6" w:rsidRPr="001E50D6" w:rsidRDefault="001E50D6" w:rsidP="00C558E6">
      <w:pPr>
        <w:widowControl w:val="0"/>
        <w:spacing w:after="0" w:line="276" w:lineRule="auto"/>
        <w:ind w:left="3402" w:hanging="2835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Dodatečná ochrana nohou</w:t>
      </w:r>
      <w:r w:rsidRPr="001E50D6">
        <w:rPr>
          <w:rFonts w:ascii="Times New Roman" w:hAnsi="Times New Roman"/>
          <w:color w:val="000000"/>
          <w:sz w:val="24"/>
          <w:szCs w:val="24"/>
        </w:rPr>
        <w:tab/>
        <w:t>pracovní nebo ochranná obuv podle ČSN EN ISO 20346 nebo ČSN EN ISO 20347 (s ohledem na práci v terénu)</w:t>
      </w:r>
    </w:p>
    <w:p w14:paraId="73ED79E4" w14:textId="77777777" w:rsidR="001E50D6" w:rsidRPr="001E50D6" w:rsidRDefault="001E50D6" w:rsidP="00C558E6">
      <w:pPr>
        <w:widowControl w:val="0"/>
        <w:spacing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 použití OOPP při konkrétní práci rozhoduje zaměstnavatel, především podle charakteru vykonávané práce a technického zabezpečení ochrany pracovníka a také po vyzkoušení některých OOPP pro konkrétní práci v daném terénu.</w:t>
      </w:r>
    </w:p>
    <w:p w14:paraId="786A25F3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3ED171" w14:textId="77777777" w:rsidR="001E50D6" w:rsidRPr="001E50D6" w:rsidRDefault="001E50D6" w:rsidP="00C558E6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53F5A0C2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43A6C">
        <w:rPr>
          <w:rFonts w:ascii="Times New Roman" w:hAnsi="Times New Roman"/>
          <w:color w:val="000000"/>
          <w:sz w:val="24"/>
          <w:szCs w:val="24"/>
          <w:highlight w:val="yellow"/>
        </w:rPr>
        <w:t>Vzhledem k nebezpečí odplavení je nutné při aplikaci dodržet minimální ochrannou vzdálenost 10 m od povrchových vod.</w:t>
      </w:r>
    </w:p>
    <w:p w14:paraId="112521F9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43A6C">
        <w:rPr>
          <w:rFonts w:ascii="Times New Roman" w:hAnsi="Times New Roman"/>
          <w:color w:val="000000"/>
          <w:sz w:val="24"/>
          <w:szCs w:val="24"/>
          <w:highlight w:val="yellow"/>
        </w:rPr>
        <w:t>Z hlediska ochrany ptáků a savců přípravek neaplikujte na neobdělávaných plochách bez dřevin.</w:t>
      </w:r>
    </w:p>
    <w:p w14:paraId="58950BB9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A43A6C">
        <w:rPr>
          <w:rFonts w:ascii="Times New Roman" w:hAnsi="Times New Roman"/>
          <w:color w:val="000000"/>
          <w:sz w:val="24"/>
          <w:szCs w:val="24"/>
          <w:highlight w:val="yellow"/>
        </w:rPr>
        <w:t>Aplikaci smí provádět pouze osoby s odbornou způsobilostí pro nakládání s přípravky na ochranu rostlin (zákon č. 326/2004 Sb., ve znění pozdějších předpisů) a zároveň proškolené o správném způsobu aplikace, možných rizicích a způsobu, jak jim předcházet.</w:t>
      </w:r>
    </w:p>
    <w:p w14:paraId="68EF8FDF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43A6C">
        <w:rPr>
          <w:rFonts w:ascii="Times New Roman" w:hAnsi="Times New Roman"/>
          <w:color w:val="000000"/>
          <w:sz w:val="24"/>
          <w:szCs w:val="24"/>
          <w:highlight w:val="yellow"/>
        </w:rPr>
        <w:t>Aplikace s přípravkem smí být prováděna pouze tam, kde nehrozí nebezpečí ohrožení lidí, zvířat a okolí.</w:t>
      </w:r>
    </w:p>
    <w:p w14:paraId="496F4BC8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Otvírání obalů provádějte ve venkovních prostorách s dostatečným přísunem čerstvého vzduchu.</w:t>
      </w:r>
    </w:p>
    <w:p w14:paraId="4DBB1577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Při práci i po ní, až do odložení osobních ochranných pracovních prostředků a do důkladného umytí nejezte, nepijte a nekuřte.</w:t>
      </w:r>
    </w:p>
    <w:p w14:paraId="1D335FF5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NEAPLIKUJTE přípravek volně rozhozem ani rozmetadlem!</w:t>
      </w:r>
    </w:p>
    <w:p w14:paraId="56F4F8CB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Při manipulaci s přípravkem je nutno zabránit kontaktu s vodou a kyselinami.</w:t>
      </w:r>
    </w:p>
    <w:p w14:paraId="0EF965D5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Po ukončení práce opusťte ošetřované plochy.</w:t>
      </w:r>
    </w:p>
    <w:p w14:paraId="10C446F1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Vstup na ošetřený pozemek je možný druhý den po aplikaci.</w:t>
      </w:r>
    </w:p>
    <w:p w14:paraId="54E2459F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Pokud není používán ochranný oděv pro jedno použití, pak ochranný oděv vyklepejte, následně vyperte a OOPP očistěte.</w:t>
      </w:r>
    </w:p>
    <w:p w14:paraId="0795B5D7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50D6">
        <w:rPr>
          <w:rFonts w:ascii="Times New Roman" w:hAnsi="Times New Roman"/>
          <w:color w:val="000000"/>
          <w:sz w:val="24"/>
          <w:szCs w:val="24"/>
        </w:rPr>
        <w:t>Při aplikaci přípravku nepoužívejte kontaktní čočky.</w:t>
      </w:r>
    </w:p>
    <w:p w14:paraId="156D9AC0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Při ošetřování ploch (např. okrasných zahrad, trávníků, trvale neobdělané půdy apod.) přípravkem v oblastech využívaných širokou veřejností nebo zranitelnými skupinami obyvatel nebo jejich těsné blízkosti je nutné uvést do etikety/příbalového letáku následující preventivní a režimová opatření:</w:t>
      </w:r>
    </w:p>
    <w:p w14:paraId="28D68095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567" w:hanging="283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-</w:t>
      </w: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ab/>
        <w:t>aplikaci je nutno předem oznámit (např. místně příslušnému obecnímu nebo městskému úřadu);</w:t>
      </w:r>
    </w:p>
    <w:p w14:paraId="480F9CE2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567" w:hanging="283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-</w:t>
      </w: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ab/>
        <w:t>umístěte na okraj pozemku v pravidelných rozestupech od sebe informační cedule s varováním:</w:t>
      </w:r>
    </w:p>
    <w:p w14:paraId="1A027241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VAROVÁNÍ. Plocha se chemicky ošetřuje přípravkem STUTOX II. VSTUP ZAKÁZÁN.</w:t>
      </w:r>
    </w:p>
    <w:p w14:paraId="6AE5ED85" w14:textId="77777777" w:rsidR="001E50D6" w:rsidRPr="00A43A6C" w:rsidRDefault="001E50D6" w:rsidP="00C558E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Doplňte datum / termín do kdy nevstupovat (což je 24 hodin po aplikaci).</w:t>
      </w:r>
    </w:p>
    <w:p w14:paraId="11D5F337" w14:textId="77777777" w:rsidR="001E50D6" w:rsidRPr="001E50D6" w:rsidRDefault="001E50D6" w:rsidP="00C558E6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43A6C">
        <w:rPr>
          <w:rFonts w:ascii="Times New Roman" w:hAnsi="Times New Roman"/>
          <w:iCs/>
          <w:snapToGrid w:val="0"/>
          <w:sz w:val="24"/>
          <w:szCs w:val="24"/>
          <w:highlight w:val="yellow"/>
        </w:rPr>
        <w:t>Doplňte název, adresu a telefonní kontakt na firmu, která ošetření provádí a zodpovídá za něj.</w:t>
      </w:r>
    </w:p>
    <w:p w14:paraId="57E04E09" w14:textId="77777777" w:rsidR="001E50D6" w:rsidRPr="001E50D6" w:rsidRDefault="001E50D6" w:rsidP="00C558E6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531E8CEE" w14:textId="77777777" w:rsidR="001E50D6" w:rsidRPr="001E50D6" w:rsidRDefault="001E50D6" w:rsidP="00C558E6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Rozsah povoleného použití:</w:t>
      </w:r>
    </w:p>
    <w:p w14:paraId="5611623F" w14:textId="77777777" w:rsidR="001E50D6" w:rsidRPr="001E50D6" w:rsidRDefault="001E50D6" w:rsidP="00C558E6">
      <w:pPr>
        <w:widowControl w:val="0"/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1E50D6">
        <w:rPr>
          <w:rFonts w:ascii="Times New Roman" w:hAnsi="Times New Roman"/>
          <w:b/>
          <w:snapToGrid w:val="0"/>
          <w:sz w:val="24"/>
          <w:szCs w:val="24"/>
        </w:rPr>
        <w:t>Stutox</w:t>
      </w:r>
      <w:proofErr w:type="spellEnd"/>
      <w:r w:rsidRPr="001E50D6">
        <w:rPr>
          <w:rFonts w:ascii="Times New Roman" w:hAnsi="Times New Roman"/>
          <w:b/>
          <w:snapToGrid w:val="0"/>
          <w:sz w:val="24"/>
          <w:szCs w:val="24"/>
        </w:rPr>
        <w:t xml:space="preserve"> II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126"/>
        <w:gridCol w:w="567"/>
        <w:gridCol w:w="1276"/>
        <w:gridCol w:w="1417"/>
      </w:tblGrid>
      <w:tr w:rsidR="001E50D6" w:rsidRPr="001E50D6" w14:paraId="0C6DC4AD" w14:textId="77777777" w:rsidTr="00181850">
        <w:trPr>
          <w:trHeight w:val="1506"/>
          <w:tblHeader/>
        </w:trPr>
        <w:tc>
          <w:tcPr>
            <w:tcW w:w="1985" w:type="dxa"/>
          </w:tcPr>
          <w:p w14:paraId="73F2F847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1)</w:t>
            </w:r>
            <w:r w:rsidR="00B628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</w:tcPr>
          <w:p w14:paraId="4B2BC37D" w14:textId="77777777" w:rsidR="001E50D6" w:rsidRPr="001E50D6" w:rsidRDefault="001E50D6" w:rsidP="00C558E6">
            <w:pPr>
              <w:widowControl w:val="0"/>
              <w:spacing w:after="0"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2126" w:type="dxa"/>
          </w:tcPr>
          <w:p w14:paraId="68F76A73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76BBA806" w14:textId="77777777" w:rsidR="001E50D6" w:rsidRPr="001E50D6" w:rsidRDefault="001E50D6" w:rsidP="00C558E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276" w:type="dxa"/>
          </w:tcPr>
          <w:p w14:paraId="1829DDC0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192CD410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67D01DF6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361A5064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417" w:type="dxa"/>
          </w:tcPr>
          <w:p w14:paraId="2A8AE6FE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DCC6FDF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6EC9070" w14:textId="77777777" w:rsidR="001E50D6" w:rsidRPr="001E50D6" w:rsidRDefault="001E50D6" w:rsidP="00C558E6">
            <w:pPr>
              <w:widowControl w:val="0"/>
              <w:spacing w:after="0" w:line="276" w:lineRule="auto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E50D6" w:rsidRPr="001E50D6" w14:paraId="6FABD70E" w14:textId="77777777" w:rsidTr="00181850">
        <w:trPr>
          <w:trHeight w:val="509"/>
        </w:trPr>
        <w:tc>
          <w:tcPr>
            <w:tcW w:w="1985" w:type="dxa"/>
          </w:tcPr>
          <w:p w14:paraId="6A1EC5DC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zemědělská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půda</w:t>
            </w:r>
            <w:proofErr w:type="spellEnd"/>
          </w:p>
        </w:tc>
        <w:tc>
          <w:tcPr>
            <w:tcW w:w="1843" w:type="dxa"/>
          </w:tcPr>
          <w:p w14:paraId="39997EC9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50A1B425" w14:textId="77777777" w:rsidR="0076189C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6688C216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278AAD3F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0E2508E8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3568B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3EDFD870" w14:textId="77777777" w:rsidTr="00181850">
        <w:trPr>
          <w:trHeight w:val="545"/>
        </w:trPr>
        <w:tc>
          <w:tcPr>
            <w:tcW w:w="1985" w:type="dxa"/>
          </w:tcPr>
          <w:p w14:paraId="2E6615A5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plodiny</w:t>
            </w:r>
            <w:proofErr w:type="spellEnd"/>
          </w:p>
        </w:tc>
        <w:tc>
          <w:tcPr>
            <w:tcW w:w="1843" w:type="dxa"/>
          </w:tcPr>
          <w:p w14:paraId="1D59219A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7F6ACF6F" w14:textId="77777777" w:rsidR="0076189C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3FA4C1E5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2EAF4FAD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16905F64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83401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075F452B" w14:textId="77777777" w:rsidTr="00B628E3">
        <w:trPr>
          <w:trHeight w:val="576"/>
        </w:trPr>
        <w:tc>
          <w:tcPr>
            <w:tcW w:w="1985" w:type="dxa"/>
          </w:tcPr>
          <w:p w14:paraId="2C7F24DE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ovocné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plodiny</w:t>
            </w:r>
            <w:proofErr w:type="spellEnd"/>
          </w:p>
        </w:tc>
        <w:tc>
          <w:tcPr>
            <w:tcW w:w="1843" w:type="dxa"/>
          </w:tcPr>
          <w:p w14:paraId="24B62CDF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7BE420C7" w14:textId="77777777" w:rsidR="0076189C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79CA7437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66D960FB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3C6A78E4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C9865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097B17FC" w14:textId="77777777" w:rsidTr="00B628E3">
        <w:trPr>
          <w:trHeight w:val="628"/>
        </w:trPr>
        <w:tc>
          <w:tcPr>
            <w:tcW w:w="1985" w:type="dxa"/>
          </w:tcPr>
          <w:p w14:paraId="6CED3A5E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zelenina</w:t>
            </w:r>
            <w:proofErr w:type="spellEnd"/>
          </w:p>
        </w:tc>
        <w:tc>
          <w:tcPr>
            <w:tcW w:w="1843" w:type="dxa"/>
          </w:tcPr>
          <w:p w14:paraId="63E50761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64590F58" w14:textId="77777777" w:rsidR="0076189C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47AE8D84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0E77E609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28C09C05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E40DD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76FEFD31" w14:textId="77777777" w:rsidTr="00B628E3">
        <w:trPr>
          <w:trHeight w:val="551"/>
        </w:trPr>
        <w:tc>
          <w:tcPr>
            <w:tcW w:w="1985" w:type="dxa"/>
          </w:tcPr>
          <w:p w14:paraId="5253CCC7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vinice</w:t>
            </w:r>
            <w:proofErr w:type="spellEnd"/>
          </w:p>
        </w:tc>
        <w:tc>
          <w:tcPr>
            <w:tcW w:w="1843" w:type="dxa"/>
          </w:tcPr>
          <w:p w14:paraId="73E3D947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07137866" w14:textId="77777777" w:rsidR="0076189C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10FEA16C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138360D6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3226B8DA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E4523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5347CEB9" w14:textId="77777777" w:rsidTr="00B628E3">
        <w:trPr>
          <w:trHeight w:val="617"/>
        </w:trPr>
        <w:tc>
          <w:tcPr>
            <w:tcW w:w="1985" w:type="dxa"/>
          </w:tcPr>
          <w:p w14:paraId="2F444AD2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pastviny</w:t>
            </w:r>
            <w:proofErr w:type="spellEnd"/>
          </w:p>
        </w:tc>
        <w:tc>
          <w:tcPr>
            <w:tcW w:w="1843" w:type="dxa"/>
          </w:tcPr>
          <w:p w14:paraId="69F7243E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49364314" w14:textId="77777777" w:rsidR="00181850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41B826F7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50BB9D42" w14:textId="77777777" w:rsidR="001E50D6" w:rsidRPr="001E50D6" w:rsidRDefault="00351ACB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276" w:type="dxa"/>
          </w:tcPr>
          <w:p w14:paraId="488CCA69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E0B63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0BD1E9DC" w14:textId="77777777" w:rsidTr="00B628E3">
        <w:trPr>
          <w:trHeight w:val="527"/>
        </w:trPr>
        <w:tc>
          <w:tcPr>
            <w:tcW w:w="1985" w:type="dxa"/>
          </w:tcPr>
          <w:p w14:paraId="04D26F6B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jehličnany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listnaté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dřeviny</w:t>
            </w:r>
            <w:proofErr w:type="spellEnd"/>
          </w:p>
        </w:tc>
        <w:tc>
          <w:tcPr>
            <w:tcW w:w="1843" w:type="dxa"/>
          </w:tcPr>
          <w:p w14:paraId="1809180B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2FEC0C01" w14:textId="77777777" w:rsidR="00181850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0D954A13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334767DC" w14:textId="77777777" w:rsidR="001E50D6" w:rsidRPr="001E50D6" w:rsidRDefault="0013695E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683C29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8D78D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E50D6" w:rsidRPr="001E50D6" w14:paraId="153E87C5" w14:textId="77777777" w:rsidTr="00B628E3">
        <w:trPr>
          <w:trHeight w:val="579"/>
        </w:trPr>
        <w:tc>
          <w:tcPr>
            <w:tcW w:w="1985" w:type="dxa"/>
          </w:tcPr>
          <w:p w14:paraId="0F0541CA" w14:textId="77777777" w:rsidR="001E50D6" w:rsidRPr="001E50D6" w:rsidRDefault="001E50D6" w:rsidP="00C558E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6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okrasné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rostliny</w:t>
            </w:r>
            <w:proofErr w:type="spellEnd"/>
          </w:p>
        </w:tc>
        <w:tc>
          <w:tcPr>
            <w:tcW w:w="1843" w:type="dxa"/>
          </w:tcPr>
          <w:p w14:paraId="57B9A3F2" w14:textId="77777777" w:rsidR="001E50D6" w:rsidRPr="001E50D6" w:rsidRDefault="001E50D6" w:rsidP="00C558E6">
            <w:pPr>
              <w:widowControl w:val="0"/>
              <w:spacing w:after="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hraboš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</w:p>
        </w:tc>
        <w:tc>
          <w:tcPr>
            <w:tcW w:w="2126" w:type="dxa"/>
          </w:tcPr>
          <w:p w14:paraId="07D35249" w14:textId="77777777" w:rsidR="00181850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2-4 pelet</w:t>
            </w:r>
            <w:r w:rsidR="00C04BAD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/noru</w:t>
            </w:r>
          </w:p>
          <w:p w14:paraId="5108660D" w14:textId="77777777" w:rsidR="001E50D6" w:rsidRPr="001E50D6" w:rsidRDefault="001E50D6" w:rsidP="00C558E6">
            <w:pPr>
              <w:widowControl w:val="0"/>
              <w:spacing w:after="0" w:line="276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</w:rPr>
              <w:t>(max. 2 kg/ha)</w:t>
            </w:r>
          </w:p>
        </w:tc>
        <w:tc>
          <w:tcPr>
            <w:tcW w:w="567" w:type="dxa"/>
          </w:tcPr>
          <w:p w14:paraId="4A3FEF04" w14:textId="77777777" w:rsidR="001E50D6" w:rsidRPr="001E50D6" w:rsidRDefault="0013695E" w:rsidP="00C558E6">
            <w:pPr>
              <w:widowControl w:val="0"/>
              <w:spacing w:after="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C154AE" w14:textId="77777777" w:rsidR="001E50D6" w:rsidRPr="001E50D6" w:rsidRDefault="001E50D6" w:rsidP="00C558E6">
            <w:pPr>
              <w:widowControl w:val="0"/>
              <w:spacing w:after="0" w:line="276" w:lineRule="auto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DA6416" w14:textId="77777777" w:rsidR="001E50D6" w:rsidRPr="001E50D6" w:rsidRDefault="001E50D6" w:rsidP="00C558E6">
            <w:pPr>
              <w:widowControl w:val="0"/>
              <w:spacing w:after="0" w:line="276" w:lineRule="auto"/>
              <w:ind w:right="-21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AEB5A00" w14:textId="77777777" w:rsidR="00E27202" w:rsidRDefault="00E27202" w:rsidP="00C558E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E865C6" w14:textId="77777777" w:rsidR="00E27202" w:rsidRDefault="00E27202" w:rsidP="00C558E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2AF3">
        <w:rPr>
          <w:rFonts w:ascii="Times New Roman" w:hAnsi="Times New Roman"/>
          <w:sz w:val="24"/>
          <w:szCs w:val="24"/>
        </w:rPr>
        <w:t xml:space="preserve">AT – ochranná lhůta je dána odstupem mezi termínem </w:t>
      </w:r>
      <w:r>
        <w:rPr>
          <w:rFonts w:ascii="Times New Roman" w:hAnsi="Times New Roman"/>
          <w:sz w:val="24"/>
          <w:szCs w:val="24"/>
        </w:rPr>
        <w:t xml:space="preserve">poslední </w:t>
      </w:r>
      <w:r w:rsidRPr="00122AF3">
        <w:rPr>
          <w:rFonts w:ascii="Times New Roman" w:hAnsi="Times New Roman"/>
          <w:sz w:val="24"/>
          <w:szCs w:val="24"/>
        </w:rPr>
        <w:t>aplikace a sklizní.</w:t>
      </w:r>
    </w:p>
    <w:p w14:paraId="5B954A79" w14:textId="77777777" w:rsidR="0013695E" w:rsidRDefault="0013695E" w:rsidP="00C558E6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2AF3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0956F33B" w14:textId="77777777" w:rsidR="001E50D6" w:rsidRPr="001E50D6" w:rsidRDefault="001E50D6" w:rsidP="00C558E6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842"/>
        <w:gridCol w:w="3119"/>
      </w:tblGrid>
      <w:tr w:rsidR="001E50D6" w:rsidRPr="001E50D6" w14:paraId="5AAD11ED" w14:textId="77777777" w:rsidTr="00181850">
        <w:trPr>
          <w:trHeight w:val="229"/>
        </w:trPr>
        <w:tc>
          <w:tcPr>
            <w:tcW w:w="4537" w:type="dxa"/>
            <w:shd w:val="clear" w:color="auto" w:fill="auto"/>
          </w:tcPr>
          <w:p w14:paraId="67BDC7CB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76A69AC6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3119" w:type="dxa"/>
          </w:tcPr>
          <w:p w14:paraId="708C8A93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50D6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 plodině</w:t>
            </w:r>
          </w:p>
        </w:tc>
      </w:tr>
      <w:tr w:rsidR="001E50D6" w:rsidRPr="001E50D6" w14:paraId="31131AD8" w14:textId="77777777" w:rsidTr="00181850">
        <w:trPr>
          <w:trHeight w:val="693"/>
        </w:trPr>
        <w:tc>
          <w:tcPr>
            <w:tcW w:w="4537" w:type="dxa"/>
            <w:shd w:val="clear" w:color="auto" w:fill="auto"/>
          </w:tcPr>
          <w:p w14:paraId="3C9599EC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zemědělská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půda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polní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plodiny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ovocné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plodiny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zelenina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vinice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pastviny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jehličnany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listnaté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dřeviny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okrasné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rostliny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3ED0FE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aplikace</w:t>
            </w:r>
            <w:proofErr w:type="spellEnd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nor</w:t>
            </w:r>
            <w:proofErr w:type="spellEnd"/>
          </w:p>
        </w:tc>
        <w:tc>
          <w:tcPr>
            <w:tcW w:w="3119" w:type="dxa"/>
          </w:tcPr>
          <w:p w14:paraId="4EE48D72" w14:textId="77777777" w:rsidR="001E50D6" w:rsidRPr="001E50D6" w:rsidRDefault="001E50D6" w:rsidP="00C558E6">
            <w:pPr>
              <w:widowControl w:val="0"/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3x / </w:t>
            </w:r>
            <w:proofErr w:type="spellStart"/>
            <w:r w:rsidRPr="001E50D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rok</w:t>
            </w:r>
            <w:proofErr w:type="spellEnd"/>
          </w:p>
        </w:tc>
      </w:tr>
    </w:tbl>
    <w:p w14:paraId="44F98E6F" w14:textId="77777777" w:rsidR="001E50D6" w:rsidRPr="00181850" w:rsidRDefault="001E50D6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4DA1A7B" w14:textId="77777777" w:rsidR="0088217E" w:rsidRPr="00181850" w:rsidRDefault="0088217E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36B893" w14:textId="77777777" w:rsidR="0088217E" w:rsidRDefault="0088217E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53BBB8" w14:textId="77777777" w:rsidR="00B628E3" w:rsidRDefault="00B628E3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552CEE" w14:textId="77777777" w:rsidR="00B628E3" w:rsidRDefault="00B628E3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A96AF2" w14:textId="77777777" w:rsidR="00B628E3" w:rsidRDefault="00B628E3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78A080" w14:textId="77777777" w:rsidR="00C558E6" w:rsidRPr="00181850" w:rsidRDefault="00C558E6" w:rsidP="00C558E6">
      <w:pPr>
        <w:pStyle w:val="Bezmezer"/>
        <w:widowControl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B23F7E" w14:textId="77777777" w:rsidR="001E50D6" w:rsidRPr="001E50D6" w:rsidRDefault="001E50D6" w:rsidP="00C558E6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E50D6">
        <w:rPr>
          <w:rFonts w:ascii="Times New Roman" w:hAnsi="Times New Roman"/>
          <w:i/>
          <w:iCs/>
          <w:snapToGrid w:val="0"/>
          <w:sz w:val="24"/>
          <w:szCs w:val="24"/>
        </w:rPr>
        <w:t>Další podmínky pro uvádění na trh a používání:</w:t>
      </w:r>
    </w:p>
    <w:p w14:paraId="563A9B51" w14:textId="77777777" w:rsidR="001E50D6" w:rsidRPr="001E50D6" w:rsidRDefault="001E50D6" w:rsidP="00C558E6">
      <w:pPr>
        <w:widowControl w:val="0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E50D6">
        <w:rPr>
          <w:rFonts w:ascii="Times New Roman" w:hAnsi="Times New Roman"/>
          <w:sz w:val="24"/>
          <w:szCs w:val="24"/>
        </w:rPr>
        <w:t>Držitel rozhodnutí o povolení je povinen uvést znění etikety přípravku do souladu s</w:t>
      </w:r>
      <w:r w:rsidR="00181850">
        <w:rPr>
          <w:rFonts w:ascii="Times New Roman" w:hAnsi="Times New Roman"/>
          <w:sz w:val="24"/>
          <w:szCs w:val="24"/>
        </w:rPr>
        <w:t xml:space="preserve"> </w:t>
      </w:r>
      <w:r w:rsidRPr="001E50D6">
        <w:rPr>
          <w:rFonts w:ascii="Times New Roman" w:hAnsi="Times New Roman"/>
          <w:sz w:val="24"/>
          <w:szCs w:val="24"/>
        </w:rPr>
        <w:t xml:space="preserve">údaji uvedenými ve výrokové části tohoto rozhodnutí. </w:t>
      </w:r>
      <w:r w:rsidRPr="001E50D6">
        <w:rPr>
          <w:rFonts w:ascii="Times New Roman" w:hAnsi="Times New Roman"/>
          <w:bCs/>
          <w:iCs/>
          <w:sz w:val="24"/>
          <w:szCs w:val="24"/>
          <w:lang w:eastAsia="ar-SA"/>
        </w:rPr>
        <w:t>Držiteli rozhodnutí o povolení se zakazuje jakkoli měnit, upravovat nebo doplňovat</w:t>
      </w:r>
      <w:r w:rsidRPr="001E50D6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r w:rsidRPr="001E50D6">
        <w:rPr>
          <w:rFonts w:ascii="Times New Roman" w:hAnsi="Times New Roman"/>
          <w:bCs/>
          <w:iCs/>
          <w:sz w:val="24"/>
          <w:szCs w:val="24"/>
          <w:lang w:eastAsia="ar-SA"/>
        </w:rPr>
        <w:t>o další doprovodné informace údaje uvedené pod bodem</w:t>
      </w:r>
      <w:r w:rsidR="00181850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1E50D6">
        <w:rPr>
          <w:rFonts w:ascii="Times New Roman" w:hAnsi="Times New Roman"/>
          <w:bCs/>
          <w:iCs/>
          <w:sz w:val="24"/>
          <w:szCs w:val="24"/>
          <w:lang w:eastAsia="ar-SA"/>
        </w:rPr>
        <w:t>2 až 8 výrokové části tohoto rozhodnutí o povolení při jejich uvádění v etiketě přípravku</w:t>
      </w:r>
      <w:r w:rsidRPr="001E50D6">
        <w:rPr>
          <w:rFonts w:ascii="Times New Roman" w:hAnsi="Times New Roman"/>
          <w:sz w:val="24"/>
          <w:szCs w:val="24"/>
        </w:rPr>
        <w:t>.</w:t>
      </w:r>
    </w:p>
    <w:p w14:paraId="21654466" w14:textId="77777777" w:rsidR="001673F6" w:rsidRDefault="001E50D6" w:rsidP="00C558E6">
      <w:pPr>
        <w:widowControl w:val="0"/>
        <w:numPr>
          <w:ilvl w:val="0"/>
          <w:numId w:val="6"/>
        </w:numPr>
        <w:tabs>
          <w:tab w:val="left" w:pos="567"/>
          <w:tab w:val="left" w:pos="709"/>
        </w:tabs>
        <w:spacing w:after="0" w:line="276" w:lineRule="auto"/>
        <w:ind w:left="567" w:hanging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1E50D6">
        <w:rPr>
          <w:rFonts w:ascii="Times New Roman" w:hAnsi="Times New Roman"/>
          <w:snapToGrid w:val="0"/>
          <w:sz w:val="24"/>
          <w:szCs w:val="24"/>
        </w:rPr>
        <w:t xml:space="preserve">Přípravek </w:t>
      </w:r>
      <w:proofErr w:type="spellStart"/>
      <w:r w:rsidRPr="001E50D6">
        <w:rPr>
          <w:rFonts w:ascii="Times New Roman" w:hAnsi="Times New Roman"/>
          <w:snapToGrid w:val="0"/>
          <w:sz w:val="24"/>
          <w:szCs w:val="24"/>
        </w:rPr>
        <w:t>Stutox</w:t>
      </w:r>
      <w:proofErr w:type="spellEnd"/>
      <w:r w:rsidRPr="001E50D6">
        <w:rPr>
          <w:rFonts w:ascii="Times New Roman" w:hAnsi="Times New Roman"/>
          <w:snapToGrid w:val="0"/>
          <w:sz w:val="24"/>
          <w:szCs w:val="24"/>
        </w:rPr>
        <w:t xml:space="preserve"> II je povolen k uvádění na trh v</w:t>
      </w:r>
      <w:r w:rsidR="001673F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snapToGrid w:val="0"/>
          <w:sz w:val="24"/>
          <w:szCs w:val="24"/>
        </w:rPr>
        <w:t>následujících obalech:</w:t>
      </w:r>
    </w:p>
    <w:p w14:paraId="44FDCBF4" w14:textId="77777777" w:rsidR="001E50D6" w:rsidRPr="001E50D6" w:rsidRDefault="001673F6" w:rsidP="00C558E6">
      <w:pPr>
        <w:widowControl w:val="0"/>
        <w:tabs>
          <w:tab w:val="left" w:pos="567"/>
          <w:tab w:val="left" w:pos="709"/>
        </w:tabs>
        <w:spacing w:after="0"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1673F6">
        <w:rPr>
          <w:rFonts w:ascii="Times New Roman" w:hAnsi="Times New Roman"/>
          <w:snapToGrid w:val="0"/>
          <w:sz w:val="24"/>
          <w:szCs w:val="24"/>
        </w:rPr>
        <w:t>PE sáček s obsahem 5 kg přípravku v PP kbelíku pro 2 ks</w:t>
      </w:r>
      <w:r w:rsidR="001E50D6" w:rsidRPr="001E50D6">
        <w:rPr>
          <w:rFonts w:ascii="Times New Roman" w:hAnsi="Times New Roman"/>
          <w:snapToGrid w:val="0"/>
          <w:sz w:val="24"/>
          <w:szCs w:val="24"/>
        </w:rPr>
        <w:t>.</w:t>
      </w:r>
    </w:p>
    <w:p w14:paraId="578633BE" w14:textId="77777777" w:rsidR="001E50D6" w:rsidRDefault="001E50D6" w:rsidP="00C558E6">
      <w:pPr>
        <w:widowControl w:val="0"/>
        <w:numPr>
          <w:ilvl w:val="0"/>
          <w:numId w:val="6"/>
        </w:numPr>
        <w:tabs>
          <w:tab w:val="left" w:pos="567"/>
          <w:tab w:val="left" w:pos="709"/>
        </w:tabs>
        <w:spacing w:after="0" w:line="276" w:lineRule="auto"/>
        <w:ind w:left="567" w:hanging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1E50D6">
        <w:rPr>
          <w:rFonts w:ascii="Times New Roman" w:hAnsi="Times New Roman"/>
          <w:snapToGrid w:val="0"/>
          <w:sz w:val="24"/>
          <w:szCs w:val="24"/>
        </w:rPr>
        <w:t xml:space="preserve">Přípravek musí odpovídat po celou dobu povolení technické specifikaci přípravku </w:t>
      </w:r>
      <w:proofErr w:type="spellStart"/>
      <w:r w:rsidRPr="001E50D6">
        <w:rPr>
          <w:rFonts w:ascii="Times New Roman" w:hAnsi="Times New Roman"/>
          <w:snapToGrid w:val="0"/>
          <w:sz w:val="24"/>
          <w:szCs w:val="24"/>
        </w:rPr>
        <w:t>Stutox</w:t>
      </w:r>
      <w:proofErr w:type="spellEnd"/>
      <w:r w:rsidRPr="001E50D6">
        <w:rPr>
          <w:rFonts w:ascii="Times New Roman" w:hAnsi="Times New Roman"/>
          <w:snapToGrid w:val="0"/>
          <w:sz w:val="24"/>
          <w:szCs w:val="24"/>
        </w:rPr>
        <w:t xml:space="preserve"> II ze dne 9. 8. 2018.</w:t>
      </w:r>
    </w:p>
    <w:p w14:paraId="527BF3A3" w14:textId="77777777" w:rsidR="00B628E3" w:rsidRDefault="00B628E3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83E9877" w14:textId="77777777" w:rsidR="00B628E3" w:rsidRPr="001E50D6" w:rsidRDefault="00B628E3" w:rsidP="00C558E6">
      <w:pPr>
        <w:widowControl w:val="0"/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628E3">
        <w:rPr>
          <w:rFonts w:ascii="Times New Roman" w:hAnsi="Times New Roman"/>
          <w:snapToGrid w:val="0"/>
          <w:sz w:val="24"/>
          <w:szCs w:val="24"/>
        </w:rPr>
        <w:t>Původní rozhodnutí čj. UKZUZ 139562/2018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ze dne </w:t>
      </w:r>
      <w:r>
        <w:rPr>
          <w:rFonts w:ascii="Times New Roman" w:hAnsi="Times New Roman"/>
          <w:snapToGrid w:val="0"/>
          <w:sz w:val="24"/>
          <w:szCs w:val="24"/>
        </w:rPr>
        <w:t>26. 10. 2018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 vydané pro společnost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Detia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Freyberg GmbH, Dr.-Werner-Freyberg-Strasse 11, 69514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Laudenbach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US"/>
        </w:rPr>
        <w:t>Německo</w:t>
      </w:r>
      <w:proofErr w:type="spellEnd"/>
      <w:r w:rsidRPr="00B628E3">
        <w:rPr>
          <w:rFonts w:ascii="Times New Roman" w:hAnsi="Times New Roman"/>
          <w:snapToGrid w:val="0"/>
          <w:sz w:val="24"/>
          <w:szCs w:val="24"/>
        </w:rPr>
        <w:t>, pozbývá platnost dnem nabytí právní moci tohoto rozhodnutí.</w:t>
      </w:r>
    </w:p>
    <w:p w14:paraId="146C0EC9" w14:textId="77777777" w:rsidR="001E50D6" w:rsidRPr="00B628E3" w:rsidRDefault="001E50D6" w:rsidP="00C558E6">
      <w:pPr>
        <w:widowControl w:val="0"/>
        <w:tabs>
          <w:tab w:val="left" w:pos="709"/>
          <w:tab w:val="left" w:pos="3402"/>
          <w:tab w:val="left" w:pos="6804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07FEABF" w14:textId="77777777" w:rsidR="001E50D6" w:rsidRPr="00B628E3" w:rsidRDefault="001E50D6" w:rsidP="00C558E6">
      <w:pPr>
        <w:widowControl w:val="0"/>
        <w:tabs>
          <w:tab w:val="left" w:pos="709"/>
          <w:tab w:val="left" w:pos="3402"/>
          <w:tab w:val="left" w:pos="6804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628E3">
        <w:rPr>
          <w:rFonts w:ascii="Times New Roman" w:hAnsi="Times New Roman"/>
          <w:b/>
          <w:sz w:val="26"/>
          <w:szCs w:val="26"/>
        </w:rPr>
        <w:t>Odůvodnění:</w:t>
      </w:r>
    </w:p>
    <w:p w14:paraId="165D5DEF" w14:textId="77777777" w:rsidR="001E50D6" w:rsidRPr="00B628E3" w:rsidRDefault="001E50D6" w:rsidP="00C558E6">
      <w:pPr>
        <w:widowControl w:val="0"/>
        <w:tabs>
          <w:tab w:val="left" w:pos="709"/>
          <w:tab w:val="left" w:pos="3402"/>
          <w:tab w:val="left" w:pos="6804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6E94450" w14:textId="77777777" w:rsidR="001E50D6" w:rsidRPr="00E77D83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628E3">
        <w:rPr>
          <w:rFonts w:ascii="Times New Roman" w:hAnsi="Times New Roman"/>
          <w:snapToGrid w:val="0"/>
          <w:sz w:val="24"/>
          <w:szCs w:val="24"/>
        </w:rPr>
        <w:t xml:space="preserve">Řízení ve věci </w:t>
      </w:r>
      <w:r w:rsidR="00B628E3">
        <w:rPr>
          <w:rFonts w:ascii="Times New Roman" w:hAnsi="Times New Roman"/>
          <w:snapToGrid w:val="0"/>
          <w:sz w:val="24"/>
          <w:szCs w:val="24"/>
        </w:rPr>
        <w:t xml:space="preserve">změny 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povolení </w:t>
      </w:r>
      <w:r w:rsidR="00B628E3">
        <w:rPr>
          <w:rFonts w:ascii="Times New Roman" w:hAnsi="Times New Roman"/>
          <w:snapToGrid w:val="0"/>
          <w:sz w:val="24"/>
          <w:szCs w:val="24"/>
        </w:rPr>
        <w:t xml:space="preserve">(rozšíření balení) 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přípravku </w:t>
      </w:r>
      <w:proofErr w:type="spellStart"/>
      <w:r w:rsidRPr="00B628E3">
        <w:rPr>
          <w:rFonts w:ascii="Times New Roman" w:hAnsi="Times New Roman"/>
          <w:snapToGrid w:val="0"/>
          <w:sz w:val="24"/>
          <w:szCs w:val="24"/>
        </w:rPr>
        <w:t>Stutox</w:t>
      </w:r>
      <w:proofErr w:type="spellEnd"/>
      <w:r w:rsidRPr="00B628E3">
        <w:rPr>
          <w:rFonts w:ascii="Times New Roman" w:hAnsi="Times New Roman"/>
          <w:snapToGrid w:val="0"/>
          <w:sz w:val="24"/>
          <w:szCs w:val="24"/>
        </w:rPr>
        <w:t xml:space="preserve"> II podle čl. </w:t>
      </w:r>
      <w:r w:rsidR="00B628E3">
        <w:rPr>
          <w:rFonts w:ascii="Times New Roman" w:hAnsi="Times New Roman"/>
          <w:snapToGrid w:val="0"/>
          <w:sz w:val="24"/>
          <w:szCs w:val="24"/>
        </w:rPr>
        <w:t>45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 nařízení ES bylo zahájeno na základě </w:t>
      </w:r>
      <w:r w:rsidRPr="00B628E3">
        <w:rPr>
          <w:rFonts w:ascii="Times New Roman" w:hAnsi="Times New Roman"/>
          <w:bCs/>
          <w:snapToGrid w:val="0"/>
          <w:sz w:val="24"/>
          <w:szCs w:val="24"/>
        </w:rPr>
        <w:t xml:space="preserve">žádosti </w:t>
      </w:r>
      <w:r w:rsidRPr="00B628E3">
        <w:rPr>
          <w:rFonts w:ascii="Times New Roman" w:hAnsi="Times New Roman"/>
          <w:snapToGrid w:val="0"/>
          <w:sz w:val="24"/>
          <w:szCs w:val="24"/>
        </w:rPr>
        <w:t xml:space="preserve">doručené dne </w:t>
      </w:r>
      <w:r w:rsidR="00B628E3">
        <w:rPr>
          <w:rFonts w:ascii="Times New Roman" w:hAnsi="Times New Roman"/>
          <w:snapToGrid w:val="0"/>
          <w:sz w:val="24"/>
          <w:szCs w:val="24"/>
        </w:rPr>
        <w:t>15. 6. 2022</w:t>
      </w:r>
      <w:r w:rsidRPr="00B628E3">
        <w:rPr>
          <w:rFonts w:ascii="Times New Roman" w:hAnsi="Times New Roman"/>
          <w:snapToGrid w:val="0"/>
          <w:sz w:val="24"/>
          <w:szCs w:val="24"/>
        </w:rPr>
        <w:t>.</w:t>
      </w:r>
    </w:p>
    <w:p w14:paraId="0DEE642B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28E3">
        <w:rPr>
          <w:rFonts w:ascii="Times New Roman" w:hAnsi="Times New Roman"/>
          <w:sz w:val="24"/>
          <w:szCs w:val="24"/>
        </w:rPr>
        <w:t>Žádost byla posouzena z hlediska splnění požadavků uvedených v čl. 29 nařízení ES. Bylo zjištěno, že přípravek splňuje požadavky pro povolení.</w:t>
      </w:r>
    </w:p>
    <w:p w14:paraId="0D857474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3D14DC5" w14:textId="77777777" w:rsidR="001E50D6" w:rsidRPr="001E50D6" w:rsidRDefault="00B628E3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F261D">
        <w:rPr>
          <w:rFonts w:ascii="Times New Roman" w:eastAsia="Times New Roman" w:hAnsi="Times New Roman"/>
          <w:spacing w:val="-2"/>
          <w:sz w:val="24"/>
          <w:szCs w:val="24"/>
          <w:lang w:eastAsia="cs-CZ"/>
        </w:rPr>
        <w:t>Posouzení přípravku z hlediska ochrany zdraví bylo provedeno Ministerstvem zdravotnictví na základě hodnocení vypracovaného Státním zdravotním ústavem</w:t>
      </w:r>
      <w:r w:rsidRPr="001E50D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E50D6" w:rsidRPr="001E50D6">
        <w:rPr>
          <w:rFonts w:ascii="Times New Roman" w:hAnsi="Times New Roman"/>
          <w:snapToGrid w:val="0"/>
          <w:sz w:val="24"/>
          <w:szCs w:val="24"/>
        </w:rPr>
        <w:t>(</w:t>
      </w:r>
      <w:r>
        <w:rPr>
          <w:rFonts w:ascii="Times New Roman" w:hAnsi="Times New Roman"/>
          <w:snapToGrid w:val="0"/>
          <w:sz w:val="24"/>
          <w:szCs w:val="24"/>
        </w:rPr>
        <w:t xml:space="preserve">viz dopis </w:t>
      </w:r>
      <w:r w:rsidR="00FB2714">
        <w:rPr>
          <w:rFonts w:ascii="Times New Roman" w:hAnsi="Times New Roman"/>
          <w:snapToGrid w:val="0"/>
          <w:sz w:val="24"/>
          <w:szCs w:val="24"/>
        </w:rPr>
        <w:t>čj. MZDR 26657/2013-4/OVZ ze dne 4.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2714">
        <w:rPr>
          <w:rFonts w:ascii="Times New Roman" w:hAnsi="Times New Roman"/>
          <w:snapToGrid w:val="0"/>
          <w:sz w:val="24"/>
          <w:szCs w:val="24"/>
        </w:rPr>
        <w:t>10.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2714">
        <w:rPr>
          <w:rFonts w:ascii="Times New Roman" w:hAnsi="Times New Roman"/>
          <w:snapToGrid w:val="0"/>
          <w:sz w:val="24"/>
          <w:szCs w:val="24"/>
        </w:rPr>
        <w:t>2018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="00FB2714">
        <w:rPr>
          <w:rFonts w:ascii="Times New Roman" w:hAnsi="Times New Roman"/>
          <w:snapToGrid w:val="0"/>
          <w:sz w:val="24"/>
          <w:szCs w:val="24"/>
        </w:rPr>
        <w:t xml:space="preserve"> ve znění dopisu čj. MZDR 26657/2013-6/OVZ ze dne 22.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2714">
        <w:rPr>
          <w:rFonts w:ascii="Times New Roman" w:hAnsi="Times New Roman"/>
          <w:snapToGrid w:val="0"/>
          <w:sz w:val="24"/>
          <w:szCs w:val="24"/>
        </w:rPr>
        <w:t>10.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B2714">
        <w:rPr>
          <w:rFonts w:ascii="Times New Roman" w:hAnsi="Times New Roman"/>
          <w:snapToGrid w:val="0"/>
          <w:sz w:val="24"/>
          <w:szCs w:val="24"/>
        </w:rPr>
        <w:t>2018</w:t>
      </w:r>
      <w:r w:rsidR="001E50D6" w:rsidRPr="001E50D6">
        <w:rPr>
          <w:rFonts w:ascii="Times New Roman" w:hAnsi="Times New Roman"/>
          <w:snapToGrid w:val="0"/>
          <w:sz w:val="24"/>
          <w:szCs w:val="24"/>
        </w:rPr>
        <w:t>).</w:t>
      </w:r>
    </w:p>
    <w:p w14:paraId="1FA17149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F83B485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E50D6">
        <w:rPr>
          <w:rFonts w:ascii="Times New Roman" w:hAnsi="Times New Roman"/>
          <w:snapToGrid w:val="0"/>
          <w:sz w:val="24"/>
          <w:szCs w:val="24"/>
        </w:rPr>
        <w:t>Vzhledem k</w:t>
      </w:r>
      <w:r w:rsidR="00BA085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E50D6">
        <w:rPr>
          <w:rFonts w:ascii="Times New Roman" w:hAnsi="Times New Roman"/>
          <w:snapToGrid w:val="0"/>
          <w:sz w:val="24"/>
          <w:szCs w:val="24"/>
        </w:rPr>
        <w:t>výše uvedeným skutečnostem bylo rozhodnuto tak, jak je stanoveno ve výrokové části tohoto rozhodnutí.</w:t>
      </w:r>
    </w:p>
    <w:p w14:paraId="4AB1123B" w14:textId="77777777" w:rsidR="001E50D6" w:rsidRPr="001E50D6" w:rsidRDefault="001E50D6" w:rsidP="00C558E6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/>
          <w:snapToGrid w:val="0"/>
          <w:sz w:val="24"/>
          <w:szCs w:val="24"/>
        </w:rPr>
      </w:pPr>
    </w:p>
    <w:p w14:paraId="061538F4" w14:textId="56C7CC57" w:rsidR="00A65A76" w:rsidRDefault="00B628E3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261D">
        <w:rPr>
          <w:rFonts w:ascii="Times New Roman" w:eastAsia="Times New Roman" w:hAnsi="Times New Roman"/>
          <w:sz w:val="24"/>
          <w:szCs w:val="24"/>
          <w:lang w:eastAsia="cs-CZ"/>
        </w:rPr>
        <w:t xml:space="preserve">Správní poplatek, splatný podle zákona č. 634/2004 Sb., o správních poplatcích, ve znění pozdějších předpisů, podle Položky 83 písm. b) Sazebníku („Přijetí žádosti o změnu v povolení přípravku na ochranu rostlin podle přímo použitelného předpisu Evropské unie upravujícího uvádění přípravků na ochranu rostlin na trh (nařízení ES) nebo v povolení pomocného prostředku na ochranu rostlin podle zákona upravujícího rostlinolékařskou péči včetně převodu těchto povolení“) ve výši 100 Kč, k žádosti doručené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15. 6. 2022</w:t>
      </w:r>
      <w:r w:rsidRPr="004F261D">
        <w:rPr>
          <w:rFonts w:ascii="Times New Roman" w:eastAsia="Times New Roman" w:hAnsi="Times New Roman"/>
          <w:sz w:val="24"/>
          <w:szCs w:val="24"/>
          <w:lang w:eastAsia="cs-CZ"/>
        </w:rPr>
        <w:t xml:space="preserve">, byl uhrazen </w:t>
      </w:r>
      <w:r w:rsidRPr="001251BA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F32F47" w:rsidRPr="001251BA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1251BA" w:rsidRPr="001251BA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1251B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F32F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32F47" w:rsidRPr="00F32F47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F32F47">
        <w:rPr>
          <w:rFonts w:ascii="Times New Roman" w:eastAsia="Times New Roman" w:hAnsi="Times New Roman"/>
          <w:sz w:val="24"/>
          <w:szCs w:val="24"/>
          <w:lang w:eastAsia="cs-CZ"/>
        </w:rPr>
        <w:t>. 202</w:t>
      </w:r>
      <w:r w:rsidR="00F32F47" w:rsidRPr="00F32F47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4F261D">
        <w:rPr>
          <w:rFonts w:ascii="Times New Roman" w:eastAsia="Times New Roman" w:hAnsi="Times New Roman"/>
          <w:sz w:val="24"/>
          <w:szCs w:val="24"/>
          <w:lang w:eastAsia="cs-CZ"/>
        </w:rPr>
        <w:t xml:space="preserve"> převodem na účet ÚKZÚZ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736A21C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F5F23A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5A5DD5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CE8825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49F67E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820DC6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74224" w14:textId="77777777" w:rsidR="00C558E6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91376B" w14:textId="77777777" w:rsidR="00C558E6" w:rsidRPr="00E77D83" w:rsidRDefault="00C558E6" w:rsidP="00C558E6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A07E3A0" w14:textId="77777777" w:rsidR="00662678" w:rsidRPr="006640BC" w:rsidRDefault="00662678" w:rsidP="00C558E6">
      <w:pPr>
        <w:widowControl w:val="0"/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640BC">
        <w:rPr>
          <w:rFonts w:ascii="Times New Roman" w:hAnsi="Times New Roman"/>
          <w:b/>
          <w:sz w:val="26"/>
          <w:szCs w:val="26"/>
        </w:rPr>
        <w:t>Poučení o odvolání:</w:t>
      </w:r>
    </w:p>
    <w:p w14:paraId="1BB47693" w14:textId="77777777" w:rsidR="004A16ED" w:rsidRPr="004A16ED" w:rsidRDefault="004A16ED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35AC35" w14:textId="77777777" w:rsidR="004A16ED" w:rsidRPr="004A16ED" w:rsidRDefault="004A16ED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A16ED">
        <w:rPr>
          <w:rFonts w:ascii="Times New Roman" w:hAnsi="Times New Roman"/>
          <w:sz w:val="24"/>
          <w:szCs w:val="24"/>
        </w:rPr>
        <w:t xml:space="preserve">Proti tomuto rozhodnutí lze podat odvolání do 15 dnů ode dne jeho doručení, nejpozději však do 15 dnů po uplynutí desátého dne ode dne, kdy bylo nedoručené a uložené rozhodnutí připraveno k vyzvednutí, a to k Ministerstvu zemědělství České republiky, </w:t>
      </w:r>
      <w:r w:rsidR="00B628E3">
        <w:rPr>
          <w:rFonts w:ascii="Times New Roman" w:hAnsi="Times New Roman"/>
          <w:sz w:val="24"/>
          <w:szCs w:val="24"/>
        </w:rPr>
        <w:t>bezpečnosti potravin</w:t>
      </w:r>
      <w:r w:rsidRPr="004A16ED">
        <w:rPr>
          <w:rFonts w:ascii="Times New Roman" w:hAnsi="Times New Roman"/>
          <w:sz w:val="24"/>
          <w:szCs w:val="24"/>
        </w:rPr>
        <w:t xml:space="preserve">, prostřednictvím Ústředního kontrolního a zkušebního ústavu zemědělského, sekce zemědělských vstupů, odboru přípravků na ochranu rostlin, Zemědělská </w:t>
      </w:r>
      <w:proofErr w:type="gramStart"/>
      <w:r w:rsidRPr="004A16ED">
        <w:rPr>
          <w:rFonts w:ascii="Times New Roman" w:hAnsi="Times New Roman"/>
          <w:sz w:val="24"/>
          <w:szCs w:val="24"/>
        </w:rPr>
        <w:t>1a</w:t>
      </w:r>
      <w:proofErr w:type="gramEnd"/>
      <w:r w:rsidRPr="004A16ED">
        <w:rPr>
          <w:rFonts w:ascii="Times New Roman" w:hAnsi="Times New Roman"/>
          <w:sz w:val="24"/>
          <w:szCs w:val="24"/>
        </w:rPr>
        <w:t>, 613 00 Brno.</w:t>
      </w:r>
    </w:p>
    <w:p w14:paraId="271C600C" w14:textId="77777777" w:rsidR="00662678" w:rsidRPr="00122AF3" w:rsidRDefault="00662678" w:rsidP="00C558E6">
      <w:pPr>
        <w:widowControl w:val="0"/>
        <w:tabs>
          <w:tab w:val="left" w:pos="3402"/>
          <w:tab w:val="left" w:pos="680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9D6A54" w14:textId="77777777" w:rsidR="00BD30DB" w:rsidRDefault="00BD30DB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004D44F" w14:textId="77777777" w:rsidR="00CC4658" w:rsidRDefault="00CC4658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451B297" w14:textId="77777777" w:rsidR="00BD30DB" w:rsidRPr="00122AF3" w:rsidRDefault="00BD30DB" w:rsidP="00C558E6">
      <w:pPr>
        <w:widowControl w:val="0"/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D3D272B" w14:textId="77777777" w:rsidR="00662678" w:rsidRPr="00122AF3" w:rsidRDefault="00662678" w:rsidP="00C558E6">
      <w:pPr>
        <w:widowControl w:val="0"/>
        <w:tabs>
          <w:tab w:val="left" w:pos="123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146E11" w14:textId="77777777" w:rsidR="00662678" w:rsidRDefault="00662678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0CF6D07" w14:textId="77777777" w:rsidR="002D6010" w:rsidRDefault="002D6010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09659EB" w14:textId="77777777" w:rsidR="00B628E3" w:rsidRDefault="00B628E3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30464F0" w14:textId="77777777" w:rsidR="00B628E3" w:rsidRDefault="00B628E3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AA1197D" w14:textId="77777777" w:rsidR="00E77D83" w:rsidRDefault="00E77D83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5BA322" w14:textId="77777777" w:rsidR="00E77D83" w:rsidRDefault="00E77D83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38E1735" w14:textId="49F6FFAB" w:rsidR="00E77D83" w:rsidRDefault="00E77D83" w:rsidP="00C558E6">
      <w:pPr>
        <w:widowControl w:val="0"/>
        <w:tabs>
          <w:tab w:val="left" w:pos="27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BB29B3" w14:textId="77777777" w:rsidR="001251BA" w:rsidRPr="00122AF3" w:rsidRDefault="001251BA" w:rsidP="00C558E6">
      <w:pPr>
        <w:widowControl w:val="0"/>
        <w:tabs>
          <w:tab w:val="left" w:pos="27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D1D2D84" w14:textId="77777777" w:rsidR="00662678" w:rsidRPr="00122AF3" w:rsidRDefault="0054343E" w:rsidP="00C558E6">
      <w:pPr>
        <w:widowControl w:val="0"/>
        <w:tabs>
          <w:tab w:val="left" w:pos="270"/>
          <w:tab w:val="left" w:pos="1125"/>
          <w:tab w:val="left" w:pos="3402"/>
          <w:tab w:val="center" w:pos="4677"/>
          <w:tab w:val="left" w:pos="5670"/>
          <w:tab w:val="left" w:pos="637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22AF3">
        <w:rPr>
          <w:rFonts w:ascii="Times New Roman" w:hAnsi="Times New Roman"/>
          <w:sz w:val="24"/>
          <w:szCs w:val="24"/>
        </w:rPr>
        <w:t xml:space="preserve">Ing. </w:t>
      </w:r>
      <w:r w:rsidR="004A16ED">
        <w:rPr>
          <w:rFonts w:ascii="Times New Roman" w:hAnsi="Times New Roman"/>
          <w:sz w:val="24"/>
          <w:szCs w:val="24"/>
        </w:rPr>
        <w:t>Pavel Minář, Ph.D.</w:t>
      </w:r>
    </w:p>
    <w:p w14:paraId="3367CB97" w14:textId="77777777" w:rsidR="006F516F" w:rsidRDefault="004A16ED" w:rsidP="00C558E6">
      <w:pPr>
        <w:widowControl w:val="0"/>
        <w:tabs>
          <w:tab w:val="left" w:pos="270"/>
          <w:tab w:val="left" w:pos="3402"/>
          <w:tab w:val="left" w:pos="5670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</w:t>
      </w:r>
      <w:r w:rsidR="00C94C08">
        <w:rPr>
          <w:rFonts w:ascii="Times New Roman" w:hAnsi="Times New Roman"/>
          <w:sz w:val="24"/>
          <w:szCs w:val="24"/>
        </w:rPr>
        <w:t>OPOR</w:t>
      </w:r>
    </w:p>
    <w:sectPr w:rsidR="006F516F" w:rsidSect="00973F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C450" w14:textId="77777777" w:rsidR="007305ED" w:rsidRDefault="007305ED" w:rsidP="00BA24EF">
      <w:pPr>
        <w:spacing w:after="0" w:line="240" w:lineRule="auto"/>
      </w:pPr>
      <w:r>
        <w:separator/>
      </w:r>
    </w:p>
  </w:endnote>
  <w:endnote w:type="continuationSeparator" w:id="0">
    <w:p w14:paraId="53D40839" w14:textId="77777777" w:rsidR="007305ED" w:rsidRDefault="007305ED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A0EF" w14:textId="77777777" w:rsidR="00956E3F" w:rsidRDefault="00956E3F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FB2714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FB2714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7655E9D5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C92E" w14:textId="77777777" w:rsidR="00A4377D" w:rsidRPr="00B542DE" w:rsidRDefault="00B542DE" w:rsidP="00B542DE">
    <w:pPr>
      <w:pStyle w:val="Zpat"/>
      <w:jc w:val="center"/>
      <w:rPr>
        <w:rFonts w:ascii="Times New Roman" w:hAnsi="Times New Roman"/>
        <w:bCs/>
        <w:noProof/>
      </w:rPr>
    </w:pPr>
    <w:r>
      <w:rPr>
        <w:rFonts w:ascii="Times New Roman" w:hAnsi="Times New Roman"/>
        <w:bCs/>
        <w:noProof/>
      </w:rPr>
      <w:fldChar w:fldCharType="begin"/>
    </w:r>
    <w:r>
      <w:rPr>
        <w:rFonts w:ascii="Times New Roman" w:hAnsi="Times New Roman"/>
        <w:bCs/>
        <w:noProof/>
      </w:rPr>
      <w:instrText>PAGE</w:instrText>
    </w:r>
    <w:r>
      <w:rPr>
        <w:rFonts w:ascii="Times New Roman" w:hAnsi="Times New Roman"/>
        <w:bCs/>
        <w:noProof/>
      </w:rPr>
      <w:fldChar w:fldCharType="separate"/>
    </w:r>
    <w:r w:rsidR="00FB2714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  <w:noProof/>
      </w:rPr>
      <w:fldChar w:fldCharType="end"/>
    </w:r>
    <w:r>
      <w:rPr>
        <w:rFonts w:ascii="Times New Roman" w:hAnsi="Times New Roman"/>
        <w:bCs/>
        <w:noProof/>
      </w:rPr>
      <w:t>/</w:t>
    </w:r>
    <w:r>
      <w:rPr>
        <w:rFonts w:ascii="Times New Roman" w:hAnsi="Times New Roman"/>
        <w:bCs/>
        <w:noProof/>
      </w:rPr>
      <w:fldChar w:fldCharType="begin"/>
    </w:r>
    <w:r>
      <w:rPr>
        <w:rFonts w:ascii="Times New Roman" w:hAnsi="Times New Roman"/>
        <w:bCs/>
        <w:noProof/>
      </w:rPr>
      <w:instrText>NUMPAGES</w:instrText>
    </w:r>
    <w:r>
      <w:rPr>
        <w:rFonts w:ascii="Times New Roman" w:hAnsi="Times New Roman"/>
        <w:bCs/>
        <w:noProof/>
      </w:rPr>
      <w:fldChar w:fldCharType="separate"/>
    </w:r>
    <w:r w:rsidR="00FB2714">
      <w:rPr>
        <w:rFonts w:ascii="Times New Roman" w:hAnsi="Times New Roman"/>
        <w:bCs/>
        <w:noProof/>
      </w:rPr>
      <w:t>7</w:t>
    </w:r>
    <w:r>
      <w:rPr>
        <w:rFonts w:ascii="Times New Roman" w:hAnsi="Times New Roman"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40A4" w14:textId="77777777" w:rsidR="007305ED" w:rsidRDefault="007305ED" w:rsidP="00BA24EF">
      <w:pPr>
        <w:spacing w:after="0" w:line="240" w:lineRule="auto"/>
      </w:pPr>
      <w:r>
        <w:separator/>
      </w:r>
    </w:p>
  </w:footnote>
  <w:footnote w:type="continuationSeparator" w:id="0">
    <w:p w14:paraId="2DDE66B3" w14:textId="77777777" w:rsidR="007305ED" w:rsidRDefault="007305ED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D5CF" w14:textId="77777777" w:rsidR="00BA24EF" w:rsidRPr="00A847C6" w:rsidRDefault="00BA24EF" w:rsidP="00BA24EF">
    <w:pPr>
      <w:pStyle w:val="Zhlav"/>
      <w:tabs>
        <w:tab w:val="clear" w:pos="9072"/>
        <w:tab w:val="right" w:pos="7088"/>
      </w:tabs>
      <w:rPr>
        <w:color w:val="59595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104" w14:textId="77777777" w:rsidR="005E5CA3" w:rsidRPr="00A847C6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 w:rsidRPr="00A847C6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A551504" w14:textId="77777777" w:rsidR="00925484" w:rsidRPr="00A847C6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/>
        <w:color w:val="595959"/>
        <w:sz w:val="18"/>
      </w:rPr>
    </w:pPr>
    <w:r w:rsidRPr="00A847C6">
      <w:rPr>
        <w:rFonts w:ascii="Times New Roman" w:hAnsi="Times New Roman"/>
        <w:color w:val="595959"/>
        <w:sz w:val="18"/>
      </w:rPr>
      <w:t xml:space="preserve">Hroznová 2 </w:t>
    </w:r>
    <w:r w:rsidRPr="00A847C6">
      <w:rPr>
        <w:rFonts w:ascii="Times New Roman" w:hAnsi="Times New Roman"/>
        <w:color w:val="595959"/>
        <w:sz w:val="18"/>
      </w:rPr>
      <w:tab/>
      <w:t>www.ukzuz.cz</w:t>
    </w:r>
    <w:r w:rsidR="00925484" w:rsidRPr="00A847C6">
      <w:rPr>
        <w:rFonts w:ascii="Times New Roman" w:hAnsi="Times New Roman"/>
        <w:color w:val="595959"/>
        <w:sz w:val="18"/>
      </w:rPr>
      <w:tab/>
    </w:r>
    <w:r w:rsidRPr="00A847C6">
      <w:rPr>
        <w:rFonts w:ascii="Times New Roman" w:hAnsi="Times New Roman"/>
        <w:color w:val="595959"/>
        <w:sz w:val="18"/>
      </w:rPr>
      <w:t>IČO: 00020338</w:t>
    </w:r>
  </w:p>
  <w:p w14:paraId="7D13F6C4" w14:textId="77777777" w:rsidR="00B15AAE" w:rsidRPr="00A847C6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/>
        <w:color w:val="595959"/>
        <w:sz w:val="18"/>
      </w:rPr>
    </w:pPr>
    <w:r w:rsidRPr="00A847C6">
      <w:rPr>
        <w:rFonts w:ascii="Times New Roman" w:hAnsi="Times New Roman"/>
        <w:color w:val="595959"/>
        <w:sz w:val="18"/>
      </w:rPr>
      <w:t>6</w:t>
    </w:r>
    <w:r w:rsidR="00EC2054">
      <w:rPr>
        <w:rFonts w:ascii="Times New Roman" w:hAnsi="Times New Roman"/>
        <w:color w:val="595959"/>
        <w:sz w:val="18"/>
      </w:rPr>
      <w:t>03 00</w:t>
    </w:r>
    <w:r w:rsidRPr="00A847C6">
      <w:rPr>
        <w:rFonts w:ascii="Times New Roman" w:hAnsi="Times New Roman"/>
        <w:color w:val="595959"/>
        <w:sz w:val="18"/>
      </w:rPr>
      <w:t xml:space="preserve"> Brno</w:t>
    </w:r>
    <w:r w:rsidR="00925484" w:rsidRPr="00A847C6">
      <w:rPr>
        <w:rFonts w:ascii="Times New Roman" w:hAnsi="Times New Roman"/>
        <w:color w:val="595959"/>
        <w:sz w:val="18"/>
      </w:rPr>
      <w:tab/>
    </w:r>
    <w:r w:rsidR="00D26413" w:rsidRPr="00A847C6">
      <w:rPr>
        <w:rFonts w:ascii="Times New Roman" w:hAnsi="Times New Roman"/>
        <w:color w:val="595959"/>
        <w:sz w:val="18"/>
      </w:rPr>
      <w:t>ID D</w:t>
    </w:r>
    <w:r w:rsidRPr="00A847C6">
      <w:rPr>
        <w:rFonts w:ascii="Times New Roman" w:hAnsi="Times New Roman"/>
        <w:color w:val="595959"/>
        <w:sz w:val="18"/>
      </w:rPr>
      <w:t>S: ugbaiq7</w:t>
    </w:r>
    <w:r w:rsidR="00925484" w:rsidRPr="00A847C6">
      <w:rPr>
        <w:rFonts w:ascii="Times New Roman" w:hAnsi="Times New Roman"/>
        <w:color w:val="595959"/>
        <w:sz w:val="18"/>
      </w:rPr>
      <w:tab/>
    </w:r>
    <w:r w:rsidRPr="00A847C6">
      <w:rPr>
        <w:rFonts w:ascii="Times New Roman" w:hAnsi="Times New Roman"/>
        <w:color w:val="595959"/>
        <w:sz w:val="18"/>
      </w:rPr>
      <w:t>DIČ: CZ00020338</w:t>
    </w:r>
  </w:p>
  <w:p w14:paraId="01EEC5E0" w14:textId="77777777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70C"/>
    <w:multiLevelType w:val="hybridMultilevel"/>
    <w:tmpl w:val="AEBE1D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576D8F"/>
    <w:multiLevelType w:val="hybridMultilevel"/>
    <w:tmpl w:val="A0F6A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4A2"/>
    <w:multiLevelType w:val="hybridMultilevel"/>
    <w:tmpl w:val="B930E3AE"/>
    <w:lvl w:ilvl="0" w:tplc="4D02B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5AD"/>
    <w:multiLevelType w:val="hybridMultilevel"/>
    <w:tmpl w:val="A970AFB0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122C8A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A90CE1"/>
    <w:multiLevelType w:val="hybridMultilevel"/>
    <w:tmpl w:val="9B8AAA0A"/>
    <w:lvl w:ilvl="0" w:tplc="BDE22C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5E2526"/>
    <w:multiLevelType w:val="hybridMultilevel"/>
    <w:tmpl w:val="680618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3B62"/>
    <w:multiLevelType w:val="hybridMultilevel"/>
    <w:tmpl w:val="C66E072A"/>
    <w:lvl w:ilvl="0" w:tplc="3E5CDDF6">
      <w:start w:val="1"/>
      <w:numFmt w:val="lowerLetter"/>
      <w:lvlText w:val="%1)"/>
      <w:lvlJc w:val="left"/>
      <w:pPr>
        <w:ind w:left="72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66A8"/>
    <w:multiLevelType w:val="hybridMultilevel"/>
    <w:tmpl w:val="75081DBA"/>
    <w:lvl w:ilvl="0" w:tplc="D982E266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374A48E5"/>
    <w:multiLevelType w:val="hybridMultilevel"/>
    <w:tmpl w:val="650E39D8"/>
    <w:lvl w:ilvl="0" w:tplc="7EB20E3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9" w15:restartNumberingAfterBreak="0">
    <w:nsid w:val="4BAB33FD"/>
    <w:multiLevelType w:val="hybridMultilevel"/>
    <w:tmpl w:val="5F941B32"/>
    <w:lvl w:ilvl="0" w:tplc="B80AE2B8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708905BB"/>
    <w:multiLevelType w:val="hybridMultilevel"/>
    <w:tmpl w:val="3D1CD0D6"/>
    <w:lvl w:ilvl="0" w:tplc="FFFFFFFF">
      <w:start w:val="1"/>
      <w:numFmt w:val="lowerRoman"/>
      <w:lvlText w:val="%1."/>
      <w:lvlJc w:val="righ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CF1916"/>
    <w:multiLevelType w:val="hybridMultilevel"/>
    <w:tmpl w:val="1720A272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09944">
    <w:abstractNumId w:val="4"/>
  </w:num>
  <w:num w:numId="2" w16cid:durableId="1101875899">
    <w:abstractNumId w:val="10"/>
  </w:num>
  <w:num w:numId="3" w16cid:durableId="1291282008">
    <w:abstractNumId w:val="3"/>
  </w:num>
  <w:num w:numId="4" w16cid:durableId="1027173832">
    <w:abstractNumId w:val="8"/>
  </w:num>
  <w:num w:numId="5" w16cid:durableId="881478395">
    <w:abstractNumId w:val="7"/>
  </w:num>
  <w:num w:numId="6" w16cid:durableId="333919823">
    <w:abstractNumId w:val="6"/>
  </w:num>
  <w:num w:numId="7" w16cid:durableId="465120681">
    <w:abstractNumId w:val="11"/>
  </w:num>
  <w:num w:numId="8" w16cid:durableId="1616018590">
    <w:abstractNumId w:val="2"/>
  </w:num>
  <w:num w:numId="9" w16cid:durableId="186910732">
    <w:abstractNumId w:val="1"/>
  </w:num>
  <w:num w:numId="10" w16cid:durableId="558442557">
    <w:abstractNumId w:val="0"/>
  </w:num>
  <w:num w:numId="11" w16cid:durableId="376667931">
    <w:abstractNumId w:val="9"/>
  </w:num>
  <w:num w:numId="12" w16cid:durableId="1791900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22"/>
    <w:rsid w:val="0001291F"/>
    <w:rsid w:val="00033178"/>
    <w:rsid w:val="00040E75"/>
    <w:rsid w:val="000464BE"/>
    <w:rsid w:val="00047A46"/>
    <w:rsid w:val="0005070F"/>
    <w:rsid w:val="000611AE"/>
    <w:rsid w:val="00081445"/>
    <w:rsid w:val="00090B4B"/>
    <w:rsid w:val="000948E1"/>
    <w:rsid w:val="000A5841"/>
    <w:rsid w:val="000E3DBF"/>
    <w:rsid w:val="000F2C01"/>
    <w:rsid w:val="000F3FC5"/>
    <w:rsid w:val="001027BE"/>
    <w:rsid w:val="001028A4"/>
    <w:rsid w:val="00105B28"/>
    <w:rsid w:val="00117ABC"/>
    <w:rsid w:val="00122067"/>
    <w:rsid w:val="00122AF3"/>
    <w:rsid w:val="001251BA"/>
    <w:rsid w:val="0013326E"/>
    <w:rsid w:val="0013695E"/>
    <w:rsid w:val="0014009F"/>
    <w:rsid w:val="001414CA"/>
    <w:rsid w:val="001562A9"/>
    <w:rsid w:val="00161C38"/>
    <w:rsid w:val="001671F3"/>
    <w:rsid w:val="001673F6"/>
    <w:rsid w:val="00181850"/>
    <w:rsid w:val="00194173"/>
    <w:rsid w:val="001B2B38"/>
    <w:rsid w:val="001D7522"/>
    <w:rsid w:val="001E50D6"/>
    <w:rsid w:val="001F04C5"/>
    <w:rsid w:val="001F240C"/>
    <w:rsid w:val="00233654"/>
    <w:rsid w:val="00244E59"/>
    <w:rsid w:val="002467EA"/>
    <w:rsid w:val="002472A4"/>
    <w:rsid w:val="002514FF"/>
    <w:rsid w:val="002669B7"/>
    <w:rsid w:val="00270F6A"/>
    <w:rsid w:val="00271AD5"/>
    <w:rsid w:val="002904F8"/>
    <w:rsid w:val="00294A7E"/>
    <w:rsid w:val="002A30D3"/>
    <w:rsid w:val="002D6010"/>
    <w:rsid w:val="002E2F18"/>
    <w:rsid w:val="00300236"/>
    <w:rsid w:val="00303600"/>
    <w:rsid w:val="00306E2D"/>
    <w:rsid w:val="0031231C"/>
    <w:rsid w:val="00351ACB"/>
    <w:rsid w:val="003722A7"/>
    <w:rsid w:val="00395FEE"/>
    <w:rsid w:val="003B32D6"/>
    <w:rsid w:val="003F0022"/>
    <w:rsid w:val="003F38C8"/>
    <w:rsid w:val="00410B11"/>
    <w:rsid w:val="004257CB"/>
    <w:rsid w:val="004425D5"/>
    <w:rsid w:val="0045465B"/>
    <w:rsid w:val="00454685"/>
    <w:rsid w:val="00457A27"/>
    <w:rsid w:val="004715B5"/>
    <w:rsid w:val="00480D39"/>
    <w:rsid w:val="0048714D"/>
    <w:rsid w:val="004923A1"/>
    <w:rsid w:val="004A16ED"/>
    <w:rsid w:val="004B6EB9"/>
    <w:rsid w:val="004E35D1"/>
    <w:rsid w:val="004F1222"/>
    <w:rsid w:val="0051305D"/>
    <w:rsid w:val="00515EAF"/>
    <w:rsid w:val="00522D61"/>
    <w:rsid w:val="005263F4"/>
    <w:rsid w:val="00533B8F"/>
    <w:rsid w:val="0054343E"/>
    <w:rsid w:val="005478BF"/>
    <w:rsid w:val="005607BA"/>
    <w:rsid w:val="00563D4E"/>
    <w:rsid w:val="005649F3"/>
    <w:rsid w:val="00595302"/>
    <w:rsid w:val="0059650D"/>
    <w:rsid w:val="005C5577"/>
    <w:rsid w:val="005D39FA"/>
    <w:rsid w:val="005E5CA3"/>
    <w:rsid w:val="005F15AD"/>
    <w:rsid w:val="005F3A38"/>
    <w:rsid w:val="00606C7E"/>
    <w:rsid w:val="00624595"/>
    <w:rsid w:val="00641435"/>
    <w:rsid w:val="0065199A"/>
    <w:rsid w:val="00656EDC"/>
    <w:rsid w:val="00662678"/>
    <w:rsid w:val="006640BC"/>
    <w:rsid w:val="006657A7"/>
    <w:rsid w:val="00670D9A"/>
    <w:rsid w:val="00680215"/>
    <w:rsid w:val="00683854"/>
    <w:rsid w:val="00694405"/>
    <w:rsid w:val="00696FC0"/>
    <w:rsid w:val="006B009E"/>
    <w:rsid w:val="006B262F"/>
    <w:rsid w:val="006B61B5"/>
    <w:rsid w:val="006D0104"/>
    <w:rsid w:val="006D28FB"/>
    <w:rsid w:val="006E035C"/>
    <w:rsid w:val="006E47FF"/>
    <w:rsid w:val="006E65DE"/>
    <w:rsid w:val="006F0861"/>
    <w:rsid w:val="006F516F"/>
    <w:rsid w:val="00700005"/>
    <w:rsid w:val="0070113D"/>
    <w:rsid w:val="007103A8"/>
    <w:rsid w:val="00721F31"/>
    <w:rsid w:val="00725791"/>
    <w:rsid w:val="007305ED"/>
    <w:rsid w:val="00747360"/>
    <w:rsid w:val="007528B6"/>
    <w:rsid w:val="00756A36"/>
    <w:rsid w:val="0076189C"/>
    <w:rsid w:val="00765408"/>
    <w:rsid w:val="00774C99"/>
    <w:rsid w:val="007764D1"/>
    <w:rsid w:val="0078512E"/>
    <w:rsid w:val="007859A3"/>
    <w:rsid w:val="00791D44"/>
    <w:rsid w:val="007D5DEC"/>
    <w:rsid w:val="007D68AF"/>
    <w:rsid w:val="007D78B0"/>
    <w:rsid w:val="007F28EC"/>
    <w:rsid w:val="008175FD"/>
    <w:rsid w:val="00831EEB"/>
    <w:rsid w:val="00836109"/>
    <w:rsid w:val="00845346"/>
    <w:rsid w:val="008464A3"/>
    <w:rsid w:val="008602E3"/>
    <w:rsid w:val="00863775"/>
    <w:rsid w:val="0087481A"/>
    <w:rsid w:val="0088217E"/>
    <w:rsid w:val="008E057C"/>
    <w:rsid w:val="008F1927"/>
    <w:rsid w:val="008F2824"/>
    <w:rsid w:val="009051BF"/>
    <w:rsid w:val="009121C0"/>
    <w:rsid w:val="00925484"/>
    <w:rsid w:val="0093362A"/>
    <w:rsid w:val="009361F8"/>
    <w:rsid w:val="00942838"/>
    <w:rsid w:val="00944B01"/>
    <w:rsid w:val="00956E3F"/>
    <w:rsid w:val="00973F61"/>
    <w:rsid w:val="0097670F"/>
    <w:rsid w:val="00994F6F"/>
    <w:rsid w:val="00996B3C"/>
    <w:rsid w:val="009A0AF9"/>
    <w:rsid w:val="009A1510"/>
    <w:rsid w:val="009B174D"/>
    <w:rsid w:val="009D723D"/>
    <w:rsid w:val="009F5C24"/>
    <w:rsid w:val="009F68DC"/>
    <w:rsid w:val="009F7CE1"/>
    <w:rsid w:val="00A068EC"/>
    <w:rsid w:val="00A15C65"/>
    <w:rsid w:val="00A36526"/>
    <w:rsid w:val="00A402FA"/>
    <w:rsid w:val="00A4377D"/>
    <w:rsid w:val="00A43A6C"/>
    <w:rsid w:val="00A452DC"/>
    <w:rsid w:val="00A53A3C"/>
    <w:rsid w:val="00A65A76"/>
    <w:rsid w:val="00A847C6"/>
    <w:rsid w:val="00AA5FEF"/>
    <w:rsid w:val="00AB6369"/>
    <w:rsid w:val="00AD1441"/>
    <w:rsid w:val="00AD6330"/>
    <w:rsid w:val="00AD71D6"/>
    <w:rsid w:val="00AF5B46"/>
    <w:rsid w:val="00B004DC"/>
    <w:rsid w:val="00B11898"/>
    <w:rsid w:val="00B15AAE"/>
    <w:rsid w:val="00B2208F"/>
    <w:rsid w:val="00B332BD"/>
    <w:rsid w:val="00B34634"/>
    <w:rsid w:val="00B36767"/>
    <w:rsid w:val="00B40B4D"/>
    <w:rsid w:val="00B466C1"/>
    <w:rsid w:val="00B51B73"/>
    <w:rsid w:val="00B542DE"/>
    <w:rsid w:val="00B628E3"/>
    <w:rsid w:val="00B65C9C"/>
    <w:rsid w:val="00B963DF"/>
    <w:rsid w:val="00BA085F"/>
    <w:rsid w:val="00BA24EF"/>
    <w:rsid w:val="00BA427A"/>
    <w:rsid w:val="00BA7C09"/>
    <w:rsid w:val="00BB631B"/>
    <w:rsid w:val="00BC7F55"/>
    <w:rsid w:val="00BD30DB"/>
    <w:rsid w:val="00BD4ABF"/>
    <w:rsid w:val="00BD6B6D"/>
    <w:rsid w:val="00BE5749"/>
    <w:rsid w:val="00BE7F14"/>
    <w:rsid w:val="00C04BAD"/>
    <w:rsid w:val="00C13042"/>
    <w:rsid w:val="00C1661D"/>
    <w:rsid w:val="00C2185C"/>
    <w:rsid w:val="00C354C8"/>
    <w:rsid w:val="00C35823"/>
    <w:rsid w:val="00C514ED"/>
    <w:rsid w:val="00C558E6"/>
    <w:rsid w:val="00C71A7A"/>
    <w:rsid w:val="00C75D30"/>
    <w:rsid w:val="00C94C08"/>
    <w:rsid w:val="00CA1A77"/>
    <w:rsid w:val="00CA4A08"/>
    <w:rsid w:val="00CB614D"/>
    <w:rsid w:val="00CC4658"/>
    <w:rsid w:val="00CC63D9"/>
    <w:rsid w:val="00CC7C51"/>
    <w:rsid w:val="00CD1D13"/>
    <w:rsid w:val="00CD2F5A"/>
    <w:rsid w:val="00CE3E0D"/>
    <w:rsid w:val="00CE42E1"/>
    <w:rsid w:val="00CF0A87"/>
    <w:rsid w:val="00D122F2"/>
    <w:rsid w:val="00D210C2"/>
    <w:rsid w:val="00D26413"/>
    <w:rsid w:val="00D31906"/>
    <w:rsid w:val="00D40E66"/>
    <w:rsid w:val="00D47B2D"/>
    <w:rsid w:val="00D52230"/>
    <w:rsid w:val="00D55CE7"/>
    <w:rsid w:val="00D55E4A"/>
    <w:rsid w:val="00D60293"/>
    <w:rsid w:val="00D97F91"/>
    <w:rsid w:val="00DC3597"/>
    <w:rsid w:val="00DC65E6"/>
    <w:rsid w:val="00DC7B32"/>
    <w:rsid w:val="00DD213F"/>
    <w:rsid w:val="00DE6FCA"/>
    <w:rsid w:val="00DF0E6D"/>
    <w:rsid w:val="00DF3B7A"/>
    <w:rsid w:val="00DF7BB5"/>
    <w:rsid w:val="00E22998"/>
    <w:rsid w:val="00E27202"/>
    <w:rsid w:val="00E273C8"/>
    <w:rsid w:val="00E32F45"/>
    <w:rsid w:val="00E35C66"/>
    <w:rsid w:val="00E53F4C"/>
    <w:rsid w:val="00E55437"/>
    <w:rsid w:val="00E65300"/>
    <w:rsid w:val="00E71B4D"/>
    <w:rsid w:val="00E77690"/>
    <w:rsid w:val="00E77D83"/>
    <w:rsid w:val="00E8705E"/>
    <w:rsid w:val="00E92E29"/>
    <w:rsid w:val="00E949D8"/>
    <w:rsid w:val="00EA1090"/>
    <w:rsid w:val="00EA3536"/>
    <w:rsid w:val="00EA4242"/>
    <w:rsid w:val="00EA6691"/>
    <w:rsid w:val="00EB6BCB"/>
    <w:rsid w:val="00EC2054"/>
    <w:rsid w:val="00ED0EC3"/>
    <w:rsid w:val="00ED3084"/>
    <w:rsid w:val="00ED3A22"/>
    <w:rsid w:val="00F009D9"/>
    <w:rsid w:val="00F06856"/>
    <w:rsid w:val="00F20951"/>
    <w:rsid w:val="00F32F47"/>
    <w:rsid w:val="00F35F34"/>
    <w:rsid w:val="00F47FA7"/>
    <w:rsid w:val="00F76177"/>
    <w:rsid w:val="00F92977"/>
    <w:rsid w:val="00FB2714"/>
    <w:rsid w:val="00FD1CB6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D071A"/>
  <w15:chartTrackingRefBased/>
  <w15:docId w15:val="{CF624B10-9EFA-4413-A63B-387D71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protocols Char,Header 1 Char,test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9121C0"/>
    <w:rPr>
      <w:color w:val="0563C1"/>
      <w:u w:val="single"/>
    </w:rPr>
  </w:style>
  <w:style w:type="character" w:styleId="Odkaznakoment">
    <w:name w:val="annotation reference"/>
    <w:unhideWhenUsed/>
    <w:rsid w:val="002A30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A3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A30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30D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D360A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A65A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F5B46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505-0BC6-4311-AB17-4F0392F5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Eva Vašáková</cp:lastModifiedBy>
  <cp:revision>2</cp:revision>
  <cp:lastPrinted>2018-04-17T08:39:00Z</cp:lastPrinted>
  <dcterms:created xsi:type="dcterms:W3CDTF">2023-03-24T17:25:00Z</dcterms:created>
  <dcterms:modified xsi:type="dcterms:W3CDTF">2023-03-24T17:25:00Z</dcterms:modified>
</cp:coreProperties>
</file>